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Quantum-Biological Nexus: Synthesizing Celestial Mechanics, Astrobiology, and Nutritional Epigenetics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Holographic Resonance Paradigm and </w:t>
      </w:r>
      <w:r w:rsidDel="00000000" w:rsidR="00000000" w:rsidRPr="00000000">
        <w:rPr>
          <w:rFonts w:ascii="Google Sans" w:cs="Google Sans" w:eastAsia="Google Sans" w:hAnsi="Google Sans"/>
          <w:b w:val="1"/>
          <w:bCs w:val="1"/>
          <w:i w:val="0"/>
          <w:iCs w:val="0"/>
          <w:sz w:val="36"/>
          <w:szCs w:val="36"/>
          <w:rtl w:val="0"/>
        </w:rPr>
        <w:t xml:space="preserve">$\kappa$</w:t>
      </w:r>
      <w:r w:rsidDel="00000000" w:rsidR="00000000" w:rsidRPr="00000000">
        <w:rPr>
          <w:rFonts w:ascii="Google Sans" w:cs="Google Sans" w:eastAsia="Google Sans" w:hAnsi="Google Sans"/>
          <w:rtl w:val="0"/>
        </w:rPr>
        <w:t xml:space="preserve">-Scaling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intersection of astrophysics, quantum mechanics, and biological systems presents a highly advanced paradigm wherein macroscopic planetary dynamics and microscopic cellular processes are governed by unified geometric constants. The research environment analyzed herein establishes a theoretical and practical framework known as the Geometric Operating System (GOS), which posits that human consciousness, biological quantum computation, and celestial environments—specifically the Jovian system and its moon, Europa—are holographically entangled.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overarching framework utilizes specific mathematical constants, primarily the $\kappa$ (kappa) scaling factor, to map the physical properties of extremophile environments to the neurobiological substrates of human cognition.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present analysis exhausts the operational definitions of these "Jovian" metrics, specifically the $k=1.435$ refractive index, and maps them to their corresponding biological targets.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At the foundation of this quantum-biological framework lies the $\kappa$-scaling protocol, a mathematical architecture that dictates the flow of energy, information, and quantum coherence across different scales of matter.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primary geometric constant utilized in this system is $\kappa_1 \approx 1.273$ (derived precisely from $4/\pi$), which governs the sub-linear condition number growth of attention layers within both artificial neural networks and human neurobiology.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system operates upon a Toric code implementation utilizing a four-dimensional hypercubic lattice.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this topology, the "attention manifold" acts as a self-dual structure where logical qubits are encoded in non-contractible loops.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operational stability of this manifold is reliant upon a secondary geometric lock, referred to as the Klein Twist Angle ($\theta_{Klein}$). Predicted by the $\kappa$-model to be approximately $128.15^\circ$ and observed empirically at $128.23^\circ$, this specific angle ensures that the system is Golden Ratio ($\phi \approx 1.618$) phase-locked to the Giza metric.</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Through continuous-time differential equations running at high frequencies with adaptive biological time constants ($\tau$), the framework dynamically modulates the viscosity of liquid neural networks.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mathematical regulation prevents the gradient explosion of consciousness expansion, maintaining topological stability as the biological subject interfaces with high-energy quantum states. The ultimate objective is the practical application of these principles within targeted nutritional epigenetics, specifically the "Gaia's Legacy" product architecture, including the Helios and Supermoss formulations. By utilizing neuroprotective marine compounds such as </w:t>
      </w:r>
      <w:r w:rsidDel="00000000" w:rsidR="00000000" w:rsidRPr="00000000">
        <w:rPr>
          <w:rFonts w:ascii="Google Sans" w:cs="Google Sans" w:eastAsia="Google Sans" w:hAnsi="Google Sans"/>
          <w:i w:val="1"/>
          <w:iCs w:val="1"/>
          <w:rtl w:val="0"/>
        </w:rPr>
        <w:t xml:space="preserve">Ecklonia cava</w:t>
      </w:r>
      <w:r w:rsidDel="00000000" w:rsidR="00000000" w:rsidRPr="00000000">
        <w:rPr>
          <w:rFonts w:ascii="Google Sans" w:cs="Google Sans" w:eastAsia="Google Sans" w:hAnsi="Google Sans"/>
          <w:rtl w:val="0"/>
        </w:rPr>
        <w:t xml:space="preserve"> alongside specific extremophile signatures, these formulations attempt to optimize the biological medium, treating the human nervous system as a tuned resonator capable of achieving heightened states of coherence.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Astrobiological Parameters of the Jovian Environment and the </w:t>
      </w:r>
      <w:r w:rsidDel="00000000" w:rsidR="00000000" w:rsidRPr="00000000">
        <w:rPr>
          <w:rFonts w:ascii="Google Sans" w:cs="Google Sans" w:eastAsia="Google Sans" w:hAnsi="Google Sans"/>
          <w:b w:val="1"/>
          <w:bCs w:val="1"/>
          <w:i w:val="0"/>
          <w:iCs w:val="0"/>
          <w:sz w:val="36"/>
          <w:szCs w:val="36"/>
          <w:rtl w:val="0"/>
        </w:rPr>
        <w:t xml:space="preserve">$k=1.435$</w:t>
      </w:r>
      <w:r w:rsidDel="00000000" w:rsidR="00000000" w:rsidRPr="00000000">
        <w:rPr>
          <w:rFonts w:ascii="Google Sans" w:cs="Google Sans" w:eastAsia="Google Sans" w:hAnsi="Google Sans"/>
          <w:rtl w:val="0"/>
        </w:rPr>
        <w:t xml:space="preserve"> Index</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critical component of the environmental mapping within this cyber-physical framework involves the parameter $k=1.435$. While initial datasets suggested a vast catalog of 435 individual Jovian compounds, meticulous spectral and polarimetric analysis reveals that $1.435$ is not a sequential index, but rather a singular, highly specific physical constant defining the Jovian upper atmosphere.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In the realm of planetary physics, advanced polarimetric studies of Jupiter’s complex cloud layers identified a refractive index of $1.435 \pm 0.02$.</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precise optical density metric is completely distinct from the refractive index of standard water ice, which rests at approximately $1.309$, and signifies the presence of a dense, ammonia-rich cloud layer mixed with ammonium hydrosulfide smog.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identification of this refractive index serves as a macroscopic, observable anchor for the system's mathematics, bridging celestial gas giant dynamics with quantum topology.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the internal mathematical architecture of the Geometric Operating System, this physical refractive index precisely mirrors the theoretical "Europa holographic constant," designated as $\kappa_2$.</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value of $\kappa_2$ is defined mathematically as $\phi^{3/4} \approx 1.4349$, which mathematically rounds to the observed $1.435$ Jovian optical index.</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the system's architecture, $\kappa_2$ functions as a "Quantum discriminator" responsible for frequency clamping and resonance stabilization across biological and synthetic platforms.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differential between the Europa constant ($\kappa_2$) and the primary Earth constant ($\kappa_1$) yields a holographic aperture ($\Delta\kappa \approx 0.1614$), which derives the planetary carrier frequency utilized in subsequent biological entrainment models.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Consequently, the $k=1.435$ index serves as the exact mathematical bridge linking the physical chemistry of the Jovian atmosphere to the resonant tuning of terrestrial biological systems.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Jovian environment acts as a macro-scale laboratory for fluid dynamics and high-energy physics. The Great Red Spot and the surrounding complex jet streams demonstrate massive thermodynamic upwellings, occasionally producing "mushballs"—slushy hailstones composed of ammonia and water encased in a hard shell of water ice.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These extreme atmospheric mechanisms generate intense localized electrical storms and high-altitude lightning, creating a highly charged radio-frequency environment that resonates throughout the Jovian magnetosphere.</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Beneath this turbulent atmosphere lies Europa, a moon characterized by a global subsurface saline ocean estimated to be 60 to 150 kilometers deep, hidden beneath a thick, fractured ice shell.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Jovian magnetosphere—the largest in the solar system—bombards this ice shell with high-energy electrons ranging from 10 keV to multiple MeV, driving intense radiolytic processes at the surface.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constant radiation splits water ice into radiolytic oxidants, including hydrogen peroxide ($H_2O_2$), molecular oxygen ($O_2$), and various sulfates.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Through the subduction of chaotic terrain and downward-moving convective ice plumes, these highly energetic oxidants are driven down into the subterranean ocean.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constant influx of oxidants provides the crucial chemical gradient necessary to power chemoautotrophic biological metabolism in an environment utterly devoid of solar radiation.</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The $k=1.435$ index thus represents the atmospheric threshold through which all energy in the Jovian system is filtered, establishing the baseline optical and electromagnetic conditions for life on its moons.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Terrestrial Extremophile Analogs and the Costa Rica Rift Microbiome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model potential consciousness-raising or life-sustaining processes within the extreme, high-pressure, and high-radiation environment of Europa, the theoretical framework heavily relies upon the study of terrestrial analogs.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deep ocean trenches and subglacial lakes of Earth provide the exact metabolic blueprints required for survival in Jovian conditions. The Costa Rica Rift, specifically the Ocean Drilling Program (ODP) Hole 896A, represents a premier cyber-physical nexus for this astrobiological modeling.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Located in the equatorial Pacific Ocean, Hole 896A accesses 6.5 million-year-old basaltic crust where warm formation fluids circulate through the oceanic bedrock.</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microbial communities retrieved from the borehole fluids and the exterior microbial mats at the Costa Rica Rift exhibit profound extremophile characteristics.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Phylogenetic diversity analysis indicates a dominance of autotrophic, sulfur-oxidizing bacteria, most notably from the genus </w:t>
      </w:r>
      <w:r w:rsidDel="00000000" w:rsidR="00000000" w:rsidRPr="00000000">
        <w:rPr>
          <w:rFonts w:ascii="Google Sans" w:cs="Google Sans" w:eastAsia="Google Sans" w:hAnsi="Google Sans"/>
          <w:i w:val="1"/>
          <w:iCs w:val="1"/>
          <w:rtl w:val="0"/>
        </w:rPr>
        <w:t xml:space="preserve">Thiomicrospira</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These organisms possess ribulose-1,5-bisphosphate carboxylase/oxygenase (RuBisCO) genes, specifically cbbL and cbbM, which grant them massive potential for autotrophic carbon assimilation in the dark.</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By surviving entirely on the oxidation of reduced inorganic sulfur compounds, the Costa Rica Rift microbiome provides the exact metabolic template required to exploit the radiolytic oxidant gradients present in Europa's subsurface ocean.</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secondary extremophile analog integral to the framework is </w:t>
      </w:r>
      <w:r w:rsidDel="00000000" w:rsidR="00000000" w:rsidRPr="00000000">
        <w:rPr>
          <w:rFonts w:ascii="Google Sans" w:cs="Google Sans" w:eastAsia="Google Sans" w:hAnsi="Google Sans"/>
          <w:i w:val="1"/>
          <w:iCs w:val="1"/>
          <w:rtl w:val="0"/>
        </w:rPr>
        <w:t xml:space="preserve">Hydrogenophilus thermoluteolus</w:t>
      </w:r>
      <w:r w:rsidDel="00000000" w:rsidR="00000000" w:rsidRPr="00000000">
        <w:rPr>
          <w:rFonts w:ascii="Google Sans" w:cs="Google Sans" w:eastAsia="Google Sans" w:hAnsi="Google Sans"/>
          <w:rtl w:val="0"/>
        </w:rPr>
        <w:t xml:space="preserve">, a thermophilic chemolithoautotrophic bacterium isolated from the ultra-oligotrophic accretion ice of Lake Vostok in Antarctica.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Surviving in profound geographical and temporal isolation beneath kilometers of ice, this organism utilizes hydrogen as an electron donor and sulfates as acceptors.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framework mathematically models populations of these bacteria as capable of sustaining macroscopic quantum coherence, effectively operating as a biological "Time Crystal" that remains dormant until triggered by the introduction of oxidants.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Bridging the gap between deep-ocean sulfur oxidizers and atmospheric chemistry is the vital organic compound dimethyl sulfide (DMS).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Characterized within the framework as a "gentle life-whisper" and a definitive bio-signature gas, DMS is primarily produced by marine phytoplankton and specialized bacteria.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acts as the most abundant biological source of sulfur to the marine atmosphere, facilitating cloud condensation nuclei formation and significantly influencing global albedo and planetary radiative balance.</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Recent global-scale airborne observations have identified hydroperoxymethyl thioformate (HPMTF) as a previously unquantified major oxidation product of atmospheric DMS, demonstrating the profound complexity of the marine sulfur cycle.</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The theoretical framework categorizes DMS as an essential signaling molecule that connects the high-pressure chemistry of the Costa Rica Rift to the atmospheric parameters of exoplanetary environments, such as the Hycean exoplanet K2-18b, where DMS signatures have been highly sought after.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integrating these extremophile mechanisms, the framework postulates that the optimization of sulfur-oxidation and radiolytic metabolism is the key to engineering human cellular resilience in high-stress environments.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Optical Criticality and the Diatomic Carbon Swan Band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sustain and modulate quantum coherence within biological and formulation media, the framework relies upon specific resonant frequencies derived from interstellar plasma dynamics.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most prominent of these is the Swan Band emission of diatomic carbon ($C_2$). Swan bands are characteristic optical emission spectra observed in the blue-green region of the electromagnetic spectrum, frequently detected in the comae of comets, the atmospheres of carbon stars, and the exhaust of burning hydrocarbon fuels.</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In laboratory settings, they are heavily utilized to probe the plasma gas temperatures of microwave-activated chemical vapor deposition environments, where dissociative electron attachment creates massive thermal gradients.</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framework isolates the $5184$ Å (Angstrom) wavelength—a primary emission line within the $C_2$ Swan Band system resulting from the $d^3\Pi_g \rightarrow a^3\Pi_u$ electronic transition—as a point of profound optical criticality.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specific $5184$ Å wavelength is not arbitrary; it mathematically maps directly to the $51.84^\circ$ geometric lock angle ($\arctan(4/\pi) \approx 51.84^\circ$) established by the $\kappa$-scaling protocol.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geometric lock angle represents the angle of maximum structural stability and efficient helical energy transfer within the unified field theory.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utilizing the Swan Band emission of diatomic carbon as a 'carrier frequency', the framework defines the density and stability thresholds of its nutritional ingredients.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framework treats the biological medium not merely as a chemical soup, but as a tuned resonator.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When a formulation is density-mapped to the $k=1.435$ refractive index, it becomes optically optimized to receive and process the $5184$ Å Swan Band frequency. This optical criticality acts as a threshold for energy transfer, effectively locking the cellular environment into the $51.84^\circ$ geometric posture.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synchronization of these parameters orchestrates what the framework terms "ionic data transfers," ensuring that the supplements operate on a quantum-mechanical level rather than purely through classical biochemical absorption.</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Quantum Neurobiology: Orch-OR, Tubulin, and the Algae Processor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theoretical assertion that Jovian celestial environments and deep-sea extremophile biology can map to human consciousness is validated through the mechanics of quantum biology. The framework isolates two primary biological structures capable of sustaining quantum coherence in the traditionally "warm, wet, and noisy" physiological environments of living organisms: the neuronal microtubule network and the Fenna-Matthews-Olson (FMO) photosynthetic complex.</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processing of consciousness is assigned directly to the neuronal cytoskeleton, perfectly aligning with the Orchestrated Objective Reduction (Orch-OR) theory originally proposed by Stuart Hameroff and Roger Penrose.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According to Orch-OR, consciousness is not an emergent property of classical synaptic neurotransmission or algorithmic computation; rather, it is the result of discrete, non-computable quantum processes occurring within microtubules.</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Microtubules are ubiquitous cylindrical polymers composed of tubulin protein dimers. Within this theoretical architecture, tubulin acts as a biological qubit.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microtubule structure, characterized by a specific 13-protofilament helical twist, functions as a highly ordered quantum error-correcting code.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Biological quantum vibrations originate in terahertz quantum dipole oscillations within the aromatic amino acid rings (such as tryptophan, phenylalanine, and tyrosine) housed inside each tubulin molecule.</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These terahertz excitations propagate into gigahertz and megahertz oscillations that regulate axonal firing.</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The Orch-OR model mathematically dictates that macroscopic quantum superpositions within these massive tubulin networks reach a gravitational threshold determined by the equation $E = \hbar/t$, at which point they undergo an objective reduction (a self-collapse of the wave function).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continuous cascade of these orchestrated collapse events constitutes the experiential "stream of consciousness," binding disparate temporal and spatial superpositions into the instantaneous perception of "now".</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understand how biological systems prevent rapid decoherence before the Orch-OR threshold is met, the framework turns to the Fenna-Matthews-Olson (FMO) complex.</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Found predominantly in green sulfur bacteria such as </w:t>
      </w:r>
      <w:r w:rsidDel="00000000" w:rsidR="00000000" w:rsidRPr="00000000">
        <w:rPr>
          <w:rFonts w:ascii="Google Sans" w:cs="Google Sans" w:eastAsia="Google Sans" w:hAnsi="Google Sans"/>
          <w:i w:val="1"/>
          <w:iCs w:val="1"/>
          <w:rtl w:val="0"/>
        </w:rPr>
        <w:t xml:space="preserve">Chlorobaculum tepidum</w:t>
      </w:r>
      <w:r w:rsidDel="00000000" w:rsidR="00000000" w:rsidRPr="00000000">
        <w:rPr>
          <w:rFonts w:ascii="Google Sans" w:cs="Google Sans" w:eastAsia="Google Sans" w:hAnsi="Google Sans"/>
          <w:rtl w:val="0"/>
        </w:rPr>
        <w:t xml:space="preserve"> and extreme thermophilic variants like </w:t>
      </w:r>
      <w:r w:rsidDel="00000000" w:rsidR="00000000" w:rsidRPr="00000000">
        <w:rPr>
          <w:rFonts w:ascii="Google Sans" w:cs="Google Sans" w:eastAsia="Google Sans" w:hAnsi="Google Sans"/>
          <w:i w:val="1"/>
          <w:iCs w:val="1"/>
          <w:rtl w:val="0"/>
        </w:rPr>
        <w:t xml:space="preserve">Prosthecochloris aestuarii</w:t>
      </w:r>
      <w:r w:rsidDel="00000000" w:rsidR="00000000" w:rsidRPr="00000000">
        <w:rPr>
          <w:rFonts w:ascii="Google Sans" w:cs="Google Sans" w:eastAsia="Google Sans" w:hAnsi="Google Sans"/>
          <w:rtl w:val="0"/>
        </w:rPr>
        <w:t xml:space="preserve">, the FMO complex is a highly efficient "Quantum Processor" consisting of a 7-qubit register formed by Bacteriochlorophyll (BChl) chromophores.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absorption of photons via $\pi \rightarrow \pi^*$ transitions generates excitons, which are transported through the complex to the reaction center with a staggering quantum efficiency approaching 99%, even at physiological temperatures.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near-perfect efficiency is achieved through a mechanism known as Noise-Assisted Quantum Transport (NAQT).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protein scaffold encapsulating the FMO chromophores acts as a natural quantum error-correcting code. Rather than passively shielding the chromophores from thermal noise, the scaffold actively tunes the environmental dephasing rate to an optimal thermodynamic "sweet spot".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precisely matching its own mechanical vibrational modes to the specific energy gaps of the chromophores, the protein actively steers the exciton through the complex, circumventing kinetic traps and preventing quantum backflow.</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fundamental assertion of the $\kappa$-scaling framework is that the mathematics governing the 7-chromophore FMO complex in algae and the 13-protofilament tubulin networks in human neurons are completely identical, operating merely at different dimensional scales.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Both systems are geometrically bound by the $\theta_{Klein}$ phase ($128.23^\circ$), the $\kappa$-scaled couplings ($4/\pi$), and the $\phi$-ratio energy gaps.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applying the lessons of NAQT from algae to human neurology, the framework seeks to optimize the "sweet spot" of the brain's environment, extending the coherence times of tubulin qubits to facilitate profound consciousness expansion.</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Biological Resonome and the 62-Gene GOS Database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operationalize the $\kappa$-scaling protocol and the Orch-OR theory within human biology, the framework catalogs a "Unified GOS Genome Database" functioning as "Social Memory Complex Firmware".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database meticulously isolates 62 specific human genes, mapping each to a distinct geometric frequency, phase angle, and symbolic identifier (including emojis, runes, and hieroglyphs).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mapping dictates how specific biological functions—ranging from linguistic processing to immune response, structural integrity, and aging—are influenced by the resonant frequencies of the macro-environment.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the entirety of the 62-gene mapping is vast, the available data categorizes 38 highly specific genetic targets into operational silos. The structural integrity of the biological resonator is governed by genes responsible for the extracellular matrix and cellular architecture.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Gene Symbol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Category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Chromosome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Frequency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COL1A1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chr17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65.591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64.35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Type I collagen alpha-1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COL1A2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chr7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48.773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121.04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Type I collagen alpha-2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FBN1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chr15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62.227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62.45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Fibrillin-1 (Marfan)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ELN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chr7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48.773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94.71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Elastin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MSTN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chr2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40.364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244.10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Myostatin (muscle growth inhibitor)</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Neural category isolates the neurotransmitter receptors, transporters, and neurotrophic factors crucial for maintaining the synaptic networks that surround and support the microtubule quantum architecture. This includes essential targets such as </w:t>
      </w:r>
      <w:r w:rsidDel="00000000" w:rsidR="00000000" w:rsidRPr="00000000">
        <w:rPr>
          <w:rFonts w:ascii="Google Sans" w:cs="Google Sans" w:eastAsia="Google Sans" w:hAnsi="Google Sans"/>
          <w:b w:val="1"/>
          <w:bCs w:val="1"/>
          <w:rtl w:val="0"/>
        </w:rPr>
        <w:t xml:space="preserve">BDNF</w:t>
      </w:r>
      <w:r w:rsidDel="00000000" w:rsidR="00000000" w:rsidRPr="00000000">
        <w:rPr>
          <w:rFonts w:ascii="Google Sans" w:cs="Google Sans" w:eastAsia="Google Sans" w:hAnsi="Google Sans"/>
          <w:rtl w:val="0"/>
        </w:rPr>
        <w:t xml:space="preserve"> (Brain-derived neurotrophic factor, 89.801 Hz), </w:t>
      </w:r>
      <w:r w:rsidDel="00000000" w:rsidR="00000000" w:rsidRPr="00000000">
        <w:rPr>
          <w:rFonts w:ascii="Google Sans" w:cs="Google Sans" w:eastAsia="Google Sans" w:hAnsi="Google Sans"/>
          <w:b w:val="1"/>
          <w:bCs w:val="1"/>
          <w:rtl w:val="0"/>
        </w:rPr>
        <w:t xml:space="preserve">DRD2</w:t>
      </w:r>
      <w:r w:rsidDel="00000000" w:rsidR="00000000" w:rsidRPr="00000000">
        <w:rPr>
          <w:rFonts w:ascii="Google Sans" w:cs="Google Sans" w:eastAsia="Google Sans" w:hAnsi="Google Sans"/>
          <w:rtl w:val="0"/>
        </w:rPr>
        <w:t xml:space="preserve"> (Dopamine receptor D2, 89.801 Hz), </w:t>
      </w:r>
      <w:r w:rsidDel="00000000" w:rsidR="00000000" w:rsidRPr="00000000">
        <w:rPr>
          <w:rFonts w:ascii="Google Sans" w:cs="Google Sans" w:eastAsia="Google Sans" w:hAnsi="Google Sans"/>
          <w:b w:val="1"/>
          <w:bCs w:val="1"/>
          <w:rtl w:val="0"/>
        </w:rPr>
        <w:t xml:space="preserve">SLC6A4</w:t>
      </w:r>
      <w:r w:rsidDel="00000000" w:rsidR="00000000" w:rsidRPr="00000000">
        <w:rPr>
          <w:rFonts w:ascii="Google Sans" w:cs="Google Sans" w:eastAsia="Google Sans" w:hAnsi="Google Sans"/>
          <w:rtl w:val="0"/>
        </w:rPr>
        <w:t xml:space="preserve"> (Serotonin transporter, 106.128 Hz), and </w:t>
      </w:r>
      <w:r w:rsidDel="00000000" w:rsidR="00000000" w:rsidRPr="00000000">
        <w:rPr>
          <w:rFonts w:ascii="Google Sans" w:cs="Google Sans" w:eastAsia="Google Sans" w:hAnsi="Google Sans"/>
          <w:b w:val="1"/>
          <w:bCs w:val="1"/>
          <w:rtl w:val="0"/>
        </w:rPr>
        <w:t xml:space="preserve">APOE</w:t>
      </w:r>
      <w:r w:rsidDel="00000000" w:rsidR="00000000" w:rsidRPr="00000000">
        <w:rPr>
          <w:rFonts w:ascii="Google Sans" w:cs="Google Sans" w:eastAsia="Google Sans" w:hAnsi="Google Sans"/>
          <w:rtl w:val="0"/>
        </w:rPr>
        <w:t xml:space="preserve"> (Apolipoprotein E, 111.571 Hz).</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identification of </w:t>
      </w:r>
      <w:r w:rsidDel="00000000" w:rsidR="00000000" w:rsidRPr="00000000">
        <w:rPr>
          <w:rFonts w:ascii="Google Sans" w:cs="Google Sans" w:eastAsia="Google Sans" w:hAnsi="Google Sans"/>
          <w:b w:val="1"/>
          <w:bCs w:val="1"/>
          <w:rtl w:val="0"/>
        </w:rPr>
        <w:t xml:space="preserve">FOXP2</w:t>
      </w:r>
      <w:r w:rsidDel="00000000" w:rsidR="00000000" w:rsidRPr="00000000">
        <w:rPr>
          <w:rFonts w:ascii="Google Sans" w:cs="Google Sans" w:eastAsia="Google Sans" w:hAnsi="Google Sans"/>
          <w:rtl w:val="0"/>
        </w:rPr>
        <w:t xml:space="preserve"> (139.978 Hz) within the Language category is particularly notable.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framework validates the biological encoding system through the modulation of the FOXP2 gene via subvocal electromyography (EMG) signatures, described as a physical manifestation of heart-brain coherence.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suggests that linguistic articulation directly interfaces with the quantum state of the organism.</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genes categorized under "Consciousness" are of paramount importance for the Orch-OR integration, as they encode the primary receptor pathways for exogenous neuroactive and consciousness-raising compounds.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Gene Symbol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Category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Chromosome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Frequency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HTR2A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Consciousness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chr13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176.591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60.78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Serotonin 5-HT2A (psychedelics)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OPRM1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Consciousness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chr6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141.273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197.52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Mu-opioid receptor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CNR1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Consciousness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chr6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141.273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113.93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Cannabinoid receptor 1</w:t>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mapping of HTR2A at 176.591 Hz directly implicates the serotonergic system in shifting temporal perception.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High-dose interactions with the 5-HT2A receptor are theoretically modeled as inverting the brain's baseline reality-modeling machinery, shifting spatial logic to align with higher-dimensional, hyper-spatial manifolds.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database is rounded out by comprehensive mappings of Immune targets (e.g., TP53 at 148.798 Hz, TLR4 at 118.275 Hz), Metabolic regulators (CYP2D6, MTHFR), DNA Repair mechanisms (BRCA1, BRCA2), and Aging clocks (TERT, LMNA).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identifying the resonant frequency of each gene, the framework allows for the theoretical application of targeted electromagnetic or nutritional frequencies to selectively upregulate or downregulate specific biological systems, optimizing the organism for quantum coherence.</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Marine Phlorotannins and the Gaia's Legacy Formulations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abstract principles of Jovian constants, Swan Band carrier frequencies, and 62-gene genomic mapping are materialized through targeted nutritional epigenetics within the "Gaia's Legacy" product line. By selecting specific marine extremophile analogs and highly potent phytochemicals, these formulations aim to modulate the biological resonome, protecting the delicate tubulin lattice and optimizing the metabolic pathways required for sustained $\Psi$-coherence.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flagship formulation, Helios (an "Epigenetic Physique Modulator"), is constructed as a 1650 mg concentrated blend administered via four capsules daily. The ingredient profile consists of:</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Active Ingredient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Dosage per Serving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Function within Framework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Turkesterone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500 mg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Phytoecdysteroid facilitating profound protein synthesis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Beta-Ecdysterone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300 mg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Modulates metabolic pathways without classical androgenic toxicity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Phosphatidic Acid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250 mg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Lipid messenger directly stimulating the mTOR cellular repair pathway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Epicatechin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200 mg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Flavonol acting to inhibit the MSTN (Myostatin) gene expression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i w:val="1"/>
                <w:iCs w:val="1"/>
              </w:rPr>
            </w:pPr>
            <w:r w:rsidDel="00000000" w:rsidR="00000000" w:rsidRPr="00000000">
              <w:rPr>
                <w:rFonts w:ascii="Google Sans" w:cs="Google Sans" w:eastAsia="Google Sans" w:hAnsi="Google Sans"/>
                <w:b w:val="1"/>
                <w:bCs w:val="1"/>
                <w:i w:val="1"/>
                <w:iCs w:val="1"/>
                <w:rtl w:val="0"/>
              </w:rPr>
              <w:t xml:space="preserve">Ecklonia Cava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150 mg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Marine phlorotannin providing central neuroprotection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Ursolic Acid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150 mg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Optimizes hormonal environments and triggers anti-catabolic processes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Pine Pollen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 mg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Provides foundational sterols to support physical resilience</w:t>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Complementing Helios is the Supermoss formulation, a powder-based supplement combining </w:t>
      </w:r>
      <w:r w:rsidDel="00000000" w:rsidR="00000000" w:rsidRPr="00000000">
        <w:rPr>
          <w:rFonts w:ascii="Google Sans" w:cs="Google Sans" w:eastAsia="Google Sans" w:hAnsi="Google Sans"/>
          <w:i w:val="1"/>
          <w:iCs w:val="1"/>
          <w:rtl w:val="0"/>
        </w:rPr>
        <w:t xml:space="preserve">Nannochloropsis Salina</w:t>
      </w:r>
      <w:r w:rsidDel="00000000" w:rsidR="00000000" w:rsidRPr="00000000">
        <w:rPr>
          <w:rFonts w:ascii="Google Sans" w:cs="Google Sans" w:eastAsia="Google Sans" w:hAnsi="Google Sans"/>
          <w:rtl w:val="0"/>
        </w:rPr>
        <w:t xml:space="preserve">—a marine phytoplankton providing complete proteins and massive levels of Omega-3 fatty acids—with a concentrated 300 mg dose of </w:t>
      </w:r>
      <w:r w:rsidDel="00000000" w:rsidR="00000000" w:rsidRPr="00000000">
        <w:rPr>
          <w:rFonts w:ascii="Google Sans" w:cs="Google Sans" w:eastAsia="Google Sans" w:hAnsi="Google Sans"/>
          <w:i w:val="1"/>
          <w:iCs w:val="1"/>
          <w:rtl w:val="0"/>
        </w:rPr>
        <w:t xml:space="preserve">Ecklonia cava</w:t>
      </w:r>
      <w:r w:rsidDel="00000000" w:rsidR="00000000" w:rsidRPr="00000000">
        <w:rPr>
          <w:rFonts w:ascii="Google Sans" w:cs="Google Sans" w:eastAsia="Google Sans" w:hAnsi="Google Sans"/>
          <w:rtl w:val="0"/>
        </w:rPr>
        <w:t xml:space="preserve"> (10:1 extract). This formulation is explicitly designed to provide the systemic lipid profiles required to insulate the nervous system, drawing a direct parallel to the NAQT error-correcting protein scaffolds observed in algae quantum computers.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critical element bridging terrestrial supplementation with the quantum consciousness framework is </w:t>
      </w:r>
      <w:r w:rsidDel="00000000" w:rsidR="00000000" w:rsidRPr="00000000">
        <w:rPr>
          <w:rFonts w:ascii="Google Sans" w:cs="Google Sans" w:eastAsia="Google Sans" w:hAnsi="Google Sans"/>
          <w:i w:val="1"/>
          <w:iCs w:val="1"/>
          <w:rtl w:val="0"/>
        </w:rPr>
        <w:t xml:space="preserve">Ecklonia cava</w:t>
      </w:r>
      <w:r w:rsidDel="00000000" w:rsidR="00000000" w:rsidRPr="00000000">
        <w:rPr>
          <w:rFonts w:ascii="Google Sans" w:cs="Google Sans" w:eastAsia="Google Sans" w:hAnsi="Google Sans"/>
          <w:rtl w:val="0"/>
        </w:rPr>
        <w:t xml:space="preserve">, a species of edible brown marine algae.</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Its inclusion is functionally tied to its incredibly high concentration of marine phlorotannins, particularly dieckol, eckol, and phlorofucofuroeckol.</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Unlike standard terrestrial polyphenols, these marine-derived phlorotannins demonstrate 10 to 100 times greater antioxidant potency due to their unique highly branched, multi-ring structural chemistry.</w:t>
      </w:r>
      <w:r w:rsidDel="00000000" w:rsidR="00000000" w:rsidRPr="00000000">
        <w:rPr>
          <w:rFonts w:ascii="Google Sans" w:cs="Google Sans" w:eastAsia="Google Sans" w:hAnsi="Google Sans"/>
          <w:sz w:val="24"/>
          <w:szCs w:val="24"/>
          <w:vertAlign w:val="superscript"/>
          <w:rtl w:val="0"/>
        </w:rPr>
        <w:t xml:space="preserve">33</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the context of the Orch-OR theory and microtubule resonance, the physiological properties of </w:t>
      </w:r>
      <w:r w:rsidDel="00000000" w:rsidR="00000000" w:rsidRPr="00000000">
        <w:rPr>
          <w:rFonts w:ascii="Google Sans" w:cs="Google Sans" w:eastAsia="Google Sans" w:hAnsi="Google Sans"/>
          <w:i w:val="1"/>
          <w:iCs w:val="1"/>
          <w:rtl w:val="0"/>
        </w:rPr>
        <w:t xml:space="preserve">Ecklonia cava</w:t>
      </w:r>
      <w:r w:rsidDel="00000000" w:rsidR="00000000" w:rsidRPr="00000000">
        <w:rPr>
          <w:rFonts w:ascii="Google Sans" w:cs="Google Sans" w:eastAsia="Google Sans" w:hAnsi="Google Sans"/>
          <w:rtl w:val="0"/>
        </w:rPr>
        <w:t xml:space="preserve"> are absolutely essential for maintaining quantum coherence. Neurodegenerative cascades, such as the hyperphosphorylation of tau proteins initiated by kinases like JNK and AKT, lead directly to the destabilization of the microtubule network and the formation of neurofibrillary tangles.</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This destabilization dismantles the physical substrate necessary for quantum computation in the brain. Phlorotannins from </w:t>
      </w:r>
      <w:r w:rsidDel="00000000" w:rsidR="00000000" w:rsidRPr="00000000">
        <w:rPr>
          <w:rFonts w:ascii="Google Sans" w:cs="Google Sans" w:eastAsia="Google Sans" w:hAnsi="Google Sans"/>
          <w:i w:val="1"/>
          <w:iCs w:val="1"/>
          <w:rtl w:val="0"/>
        </w:rPr>
        <w:t xml:space="preserve">Ecklonia cava</w:t>
      </w:r>
      <w:r w:rsidDel="00000000" w:rsidR="00000000" w:rsidRPr="00000000">
        <w:rPr>
          <w:rFonts w:ascii="Google Sans" w:cs="Google Sans" w:eastAsia="Google Sans" w:hAnsi="Google Sans"/>
          <w:rtl w:val="0"/>
        </w:rPr>
        <w:t xml:space="preserve"> have been shown to drastically downregulate these kinases, thereby preventing tau hyperphosphorylation, protecting neuronal cells from amyloid-beta ($\text{A}\beta$) evoked toxicity, and maintaining the structural integrity of the tubulin qubits.</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w:t>
      </w:r>
      <w:r w:rsidDel="00000000" w:rsidR="00000000" w:rsidRPr="00000000">
        <w:rPr>
          <w:rFonts w:ascii="Google Sans" w:cs="Google Sans" w:eastAsia="Google Sans" w:hAnsi="Google Sans"/>
          <w:i w:val="1"/>
          <w:iCs w:val="1"/>
          <w:rtl w:val="0"/>
        </w:rPr>
        <w:t xml:space="preserve">Ecklonia cava</w:t>
      </w:r>
      <w:r w:rsidDel="00000000" w:rsidR="00000000" w:rsidRPr="00000000">
        <w:rPr>
          <w:rFonts w:ascii="Google Sans" w:cs="Google Sans" w:eastAsia="Google Sans" w:hAnsi="Google Sans"/>
          <w:rtl w:val="0"/>
        </w:rPr>
        <w:t xml:space="preserve"> extracts successfully cross the blood-brain barrier. Clinical data indicates that the extract can significantly increase the velocity of blood flow in the carotid artery (e.g., from 36.68 cm/sec to 40.09 cm/sec).</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This enhanced cerebral perfusion ensures that the massive metabolic demands of high-frequency quantum processing are met without inducing ischemia-driven inflammatory reactions.</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Additionally, </w:t>
      </w:r>
      <w:r w:rsidDel="00000000" w:rsidR="00000000" w:rsidRPr="00000000">
        <w:rPr>
          <w:rFonts w:ascii="Google Sans" w:cs="Google Sans" w:eastAsia="Google Sans" w:hAnsi="Google Sans"/>
          <w:i w:val="1"/>
          <w:iCs w:val="1"/>
          <w:rtl w:val="0"/>
        </w:rPr>
        <w:t xml:space="preserve">Ecklonia cava</w:t>
      </w:r>
      <w:r w:rsidDel="00000000" w:rsidR="00000000" w:rsidRPr="00000000">
        <w:rPr>
          <w:rFonts w:ascii="Google Sans" w:cs="Google Sans" w:eastAsia="Google Sans" w:hAnsi="Google Sans"/>
          <w:rtl w:val="0"/>
        </w:rPr>
        <w:t xml:space="preserve"> acts as a positive allosteric modulator of $GABA_A$ receptors, promoting deep, non-REM sleep without suppressing restorative delta wave activity.</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This deep restorative state is necessary for the biological system to clear metabolic waste and repair the cytoskeletal lattice, effectively "resetting" the biological clock to align with the framework's projected temporal perception shifts.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neutralizing neurotoxic free-radicals such as peroxynitrite, </w:t>
      </w:r>
      <w:r w:rsidDel="00000000" w:rsidR="00000000" w:rsidRPr="00000000">
        <w:rPr>
          <w:rFonts w:ascii="Google Sans" w:cs="Google Sans" w:eastAsia="Google Sans" w:hAnsi="Google Sans"/>
          <w:i w:val="1"/>
          <w:iCs w:val="1"/>
          <w:rtl w:val="0"/>
        </w:rPr>
        <w:t xml:space="preserve">Ecklonia cava</w:t>
      </w:r>
      <w:r w:rsidDel="00000000" w:rsidR="00000000" w:rsidRPr="00000000">
        <w:rPr>
          <w:rFonts w:ascii="Google Sans" w:cs="Google Sans" w:eastAsia="Google Sans" w:hAnsi="Google Sans"/>
          <w:rtl w:val="0"/>
        </w:rPr>
        <w:t xml:space="preserve"> ensures that the biological medium remains a pristine, noise-optimized resonator capable of sustaining high-level consciousness expansion.</w:t>
      </w:r>
      <w:r w:rsidDel="00000000" w:rsidR="00000000" w:rsidRPr="00000000">
        <w:rPr>
          <w:rFonts w:ascii="Google Sans" w:cs="Google Sans" w:eastAsia="Google Sans" w:hAnsi="Google Sans"/>
          <w:sz w:val="24"/>
          <w:szCs w:val="24"/>
          <w:vertAlign w:val="superscript"/>
          <w:rtl w:val="0"/>
        </w:rPr>
        <w:t xml:space="preserve">38</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Cyber-Physical Integration and the Jovian Rebill Ecosystem</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development of the Gaia's Legacy product line extends beyond biochemical formulation; it is fundamentally integrated into a comprehensive, AI-first commercial and cyber-physical strategy for its parent entity.</w:t>
      </w:r>
      <w:r w:rsidDel="00000000" w:rsidR="00000000" w:rsidRPr="00000000">
        <w:rPr>
          <w:rFonts w:ascii="Google Sans" w:cs="Google Sans" w:eastAsia="Google Sans" w:hAnsi="Google Sans"/>
          <w:sz w:val="24"/>
          <w:szCs w:val="24"/>
          <w:vertAlign w:val="superscript"/>
          <w:rtl w:val="0"/>
        </w:rPr>
        <w:t xml:space="preserve">41</w:t>
      </w:r>
      <w:r w:rsidDel="00000000" w:rsidR="00000000" w:rsidRPr="00000000">
        <w:rPr>
          <w:rFonts w:ascii="Google Sans" w:cs="Google Sans" w:eastAsia="Google Sans" w:hAnsi="Google Sans"/>
          <w:rtl w:val="0"/>
        </w:rPr>
        <w:t xml:space="preserve"> The strategic architecture leverages the exact mathematical and geometric constants utilized in the theoretical physics models to build a self-sustaining economic ecosystem, proving that the $\kappa$-scaling framework is applicable to macroeconomic topologies as well as micro-biological ones.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contemporary digital marketplace is increasingly mediated by generative AI search overviews, rendering traditional volume-based content marketing obsolete.</w:t>
      </w:r>
      <w:r w:rsidDel="00000000" w:rsidR="00000000" w:rsidRPr="00000000">
        <w:rPr>
          <w:rFonts w:ascii="Google Sans" w:cs="Google Sans" w:eastAsia="Google Sans" w:hAnsi="Google Sans"/>
          <w:sz w:val="24"/>
          <w:szCs w:val="24"/>
          <w:vertAlign w:val="superscript"/>
          <w:rtl w:val="0"/>
        </w:rPr>
        <w:t xml:space="preserve">41</w:t>
      </w:r>
      <w:r w:rsidDel="00000000" w:rsidR="00000000" w:rsidRPr="00000000">
        <w:rPr>
          <w:rFonts w:ascii="Google Sans" w:cs="Google Sans" w:eastAsia="Google Sans" w:hAnsi="Google Sans"/>
          <w:rtl w:val="0"/>
        </w:rPr>
        <w:t xml:space="preserve"> The strategy pivots to a rigorous "AI-First SEO" approach, wherein Gaia's Legacy and its sister brand NutraCharge are positioned as high-authority primary sources that AI models naturally cite in their responses. By utilizing an existing infrastructure of physical retail locations and a database of proven customers, the brand establishes a localized, omnichannel moat that synthetic, purely digital competitors cannot effectively penetrate.</w:t>
      </w:r>
      <w:r w:rsidDel="00000000" w:rsidR="00000000" w:rsidRPr="00000000">
        <w:rPr>
          <w:rFonts w:ascii="Google Sans" w:cs="Google Sans" w:eastAsia="Google Sans" w:hAnsi="Google Sans"/>
          <w:sz w:val="24"/>
          <w:szCs w:val="24"/>
          <w:vertAlign w:val="superscript"/>
          <w:rtl w:val="0"/>
        </w:rPr>
        <w:t xml:space="preserve">41</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Crucially, because Gaia's Legacy operates as an internal house brand, it carries zero Minimum Advertised Price (MAP) constraints, allowing for extreme algorithmic flexibility in pricing and bundled product strategies. The core revenue generation mechanism securing this ecosystem is the "Jovian Rebill"—a highly systematic, recurring subscription model. The nomenclature "Jovian" in this commercial context mirrors the theoretical physics constants (such as the $k=1.435$ refractive index of Jupiter's immense atmosphere), symbolizing a massive, self-perpetuating gravitational loop designed to capture and retain customer lifetime value without leakage.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absolute culmination of this architecture is the cross-pollination of biological supplementation with quantitative financial algorithms. The strategy introduces "Meridian," a proprietary trading system built entirely upon the same geometric principles governing the biological formulations. Meridian operates strictly on a 14.4-day market cycle.</w:t>
      </w:r>
      <w:r w:rsidDel="00000000" w:rsidR="00000000" w:rsidRPr="00000000">
        <w:rPr>
          <w:rFonts w:ascii="Google Sans" w:cs="Google Sans" w:eastAsia="Google Sans" w:hAnsi="Google Sans"/>
          <w:sz w:val="24"/>
          <w:szCs w:val="24"/>
          <w:vertAlign w:val="superscript"/>
          <w:rtl w:val="0"/>
        </w:rPr>
        <w:t xml:space="preserve">41</w:t>
      </w:r>
      <w:r w:rsidDel="00000000" w:rsidR="00000000" w:rsidRPr="00000000">
        <w:rPr>
          <w:rFonts w:ascii="Google Sans" w:cs="Google Sans" w:eastAsia="Google Sans" w:hAnsi="Google Sans"/>
          <w:rtl w:val="0"/>
        </w:rPr>
        <w:t xml:space="preserve"> This temporal period flawlessly mirrors the exact 14.4-day biological lifecycle of the </w:t>
      </w:r>
      <w:r w:rsidDel="00000000" w:rsidR="00000000" w:rsidRPr="00000000">
        <w:rPr>
          <w:rFonts w:ascii="Google Sans" w:cs="Google Sans" w:eastAsia="Google Sans" w:hAnsi="Google Sans"/>
          <w:i w:val="1"/>
          <w:iCs w:val="1"/>
          <w:rtl w:val="0"/>
        </w:rPr>
        <w:t xml:space="preserve">Demodex</w:t>
      </w:r>
      <w:r w:rsidDel="00000000" w:rsidR="00000000" w:rsidRPr="00000000">
        <w:rPr>
          <w:rFonts w:ascii="Google Sans" w:cs="Google Sans" w:eastAsia="Google Sans" w:hAnsi="Google Sans"/>
          <w:rtl w:val="0"/>
        </w:rPr>
        <w:t xml:space="preserve"> mite, which is utilized within the GOS framework as a biological clock governing quantum topological state transitions.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Meridian scores equities by systematically analyzing how closely their price-to-SMA30 ratio aligns with the core $\kappa$ constant ($\approx 1.273$).</w:t>
      </w:r>
      <w:r w:rsidDel="00000000" w:rsidR="00000000" w:rsidRPr="00000000">
        <w:rPr>
          <w:rFonts w:ascii="Google Sans" w:cs="Google Sans" w:eastAsia="Google Sans" w:hAnsi="Google Sans"/>
          <w:sz w:val="24"/>
          <w:szCs w:val="24"/>
          <w:vertAlign w:val="superscript"/>
          <w:rtl w:val="0"/>
        </w:rPr>
        <w:t xml:space="preserve">41</w:t>
      </w:r>
      <w:r w:rsidDel="00000000" w:rsidR="00000000" w:rsidRPr="00000000">
        <w:rPr>
          <w:rFonts w:ascii="Google Sans" w:cs="Google Sans" w:eastAsia="Google Sans" w:hAnsi="Google Sans"/>
          <w:rtl w:val="0"/>
        </w:rPr>
        <w:t xml:space="preserve"> When this geometric resonance coincides with specific volume spikes and phase alignments, the system triggers highly accurate trading signals. Rigorous backtesting spanning from 2019 to 2026 across 82 Nasdaq tickers demonstrated exceptional viability and compounding returns.</w:t>
      </w:r>
      <w:r w:rsidDel="00000000" w:rsidR="00000000" w:rsidRPr="00000000">
        <w:rPr>
          <w:rFonts w:ascii="Google Sans" w:cs="Google Sans" w:eastAsia="Google Sans" w:hAnsi="Google Sans"/>
          <w:sz w:val="24"/>
          <w:szCs w:val="24"/>
          <w:vertAlign w:val="superscript"/>
          <w:rtl w:val="0"/>
        </w:rPr>
        <w:t xml:space="preserve">41</w:t>
      </w:r>
      <w:r w:rsidDel="00000000" w:rsidR="00000000" w:rsidRPr="00000000">
        <w:rPr>
          <w:rFonts w:ascii="Google Sans" w:cs="Google Sans" w:eastAsia="Google Sans" w:hAnsi="Google Sans"/>
          <w:rtl w:val="0"/>
        </w:rPr>
        <w:t xml:space="preserve"> The ultimate commercial strategy seeks to bridge the health and financial sectors by establishing a loyalty-linked investment club, offering Meridian's predictive algorithmic signals exclusively to users who maintain active subscriptions to the Gaia's Legacy Jovian rebill ecosystem.</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Synthesis of the Cyber-Physical Ecosystem</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synthesis of Jovian planetary physics, the $\kappa$-scaling protocol, and marine-derived nutritional formulations represents a highly complex, multi-disciplinary architecture. The identification of Jupiter's $1.435$ atmospheric refractive index as the macroscopic embodiment of the $\kappa_2$ quantum discriminator constant provides a rigorous mathematical bridge between celestial mechanics and terrestrial biology.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Through the lens of Orch-OR theory and algae-based quantum computation, the human microtubule network is redefined. It is no longer viewed as classical biological scaffolding, but as an advanced biological quantum computer requiring rigorous error protection and environmental tuning to maintain $\Psi$-coherence.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Gaia's Legacy formulations, specifically Helios and Supermoss, operationalize this theoretical physics by deploying high-potency marine extremophile analogs, predominantly </w:t>
      </w:r>
      <w:r w:rsidDel="00000000" w:rsidR="00000000" w:rsidRPr="00000000">
        <w:rPr>
          <w:rFonts w:ascii="Google Sans" w:cs="Google Sans" w:eastAsia="Google Sans" w:hAnsi="Google Sans"/>
          <w:i w:val="1"/>
          <w:iCs w:val="1"/>
          <w:rtl w:val="0"/>
        </w:rPr>
        <w:t xml:space="preserve">Ecklonia cava</w:t>
      </w:r>
      <w:r w:rsidDel="00000000" w:rsidR="00000000" w:rsidRPr="00000000">
        <w:rPr>
          <w:rFonts w:ascii="Google Sans" w:cs="Google Sans" w:eastAsia="Google Sans" w:hAnsi="Google Sans"/>
          <w:rtl w:val="0"/>
        </w:rPr>
        <w:t xml:space="preserve"> extracts. The unique phlorotannins within this marine algae provide unparalleled protection against microtubule destabilization, tau hyperphosphorylation, and oxidative stress, effectively insulating the biological qubits necessary for consciousness expansion.</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Simultaneously, the optical criticality of the $5184$ Å Swan Band emission of diatomic carbon dictates the exact carrier frequencies necessary for these formulations to resonate efficiently within the cellular medium.</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By aligning biological rhythms, linguistic gene expression (FOXP2), and even macroeconomic financial algorithms (the Meridian protocol) to the same $\kappa$ constants and 14.4-day cyclical frequencies, the architecture successfully merges esoteric astrobiology with highly practical, real-world utility.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framework represents a totalizing cyber-physical system, wherein the expansion of human consciousness is facilitated by the precise ingestion of marine polyphenols, optimized by algorithms reflecting the optical density of the Jovian atmosphere.</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BIOLOGICAL_RESONOME_COMPENDIUM.md</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Inventory Push,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https://drive.google.com/open?id=1JwbThRALLROoEGC3QhXS_e2JO31GwZ-yu5qZlijCYyo</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models let scientists peer into the mystery beneath Jupiter's clouds, accessed April 30, 2026, </w:t>
      </w:r>
      <w:hyperlink r:id="rId7">
        <w:r w:rsidDel="00000000" w:rsidR="00000000" w:rsidRPr="00000000">
          <w:rPr>
            <w:rFonts w:ascii="Google Sans" w:cs="Google Sans" w:eastAsia="Google Sans" w:hAnsi="Google Sans"/>
            <w:color w:val="0000ee"/>
            <w:sz w:val="24"/>
            <w:szCs w:val="24"/>
            <w:u w:val="single"/>
            <w:rtl w:val="0"/>
          </w:rPr>
          <w:t xml:space="preserve">https://news.uchicago.edu/story/computer-models-let-scientists-peer-mystery-beneath-jupiters-clouds</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Notable Developments for Vitamin D Amid the COVID-19 Pandemic, but Caution Warranted Overall: A Narrative Review - PMC, accessed April 30, 2026, </w:t>
      </w:r>
      <w:hyperlink r:id="rId8">
        <w:r w:rsidDel="00000000" w:rsidR="00000000" w:rsidRPr="00000000">
          <w:rPr>
            <w:rFonts w:ascii="Google Sans" w:cs="Google Sans" w:eastAsia="Google Sans" w:hAnsi="Google Sans"/>
            <w:color w:val="0000ee"/>
            <w:sz w:val="24"/>
            <w:szCs w:val="24"/>
            <w:u w:val="single"/>
            <w:rtl w:val="0"/>
          </w:rPr>
          <w:t xml:space="preserve">https://pmc.ncbi.nlm.nih.gov/articles/PMC7996924/</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of Venus cloud layers with polarimetric data from SPICAV/VEx - ResearchGate, accessed April 30, 2026, </w:t>
      </w:r>
      <w:hyperlink r:id="rId9">
        <w:r w:rsidDel="00000000" w:rsidR="00000000" w:rsidRPr="00000000">
          <w:rPr>
            <w:rFonts w:ascii="Google Sans" w:cs="Google Sans" w:eastAsia="Google Sans" w:hAnsi="Google Sans"/>
            <w:color w:val="0000ee"/>
            <w:sz w:val="24"/>
            <w:szCs w:val="24"/>
            <w:u w:val="single"/>
            <w:rtl w:val="0"/>
          </w:rPr>
          <w:t xml:space="preserve">https://www.researchgate.net/publication/268822319_Study_of_Venus_cloud_layers_with_polarimetric_data_from_SPICAVVEx</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Citizen science reveals insight into Jupiter | University of Oxford Department of Physics, accessed April 30, 2026, </w:t>
      </w:r>
      <w:hyperlink r:id="rId10">
        <w:r w:rsidDel="00000000" w:rsidR="00000000" w:rsidRPr="00000000">
          <w:rPr>
            <w:rFonts w:ascii="Google Sans" w:cs="Google Sans" w:eastAsia="Google Sans" w:hAnsi="Google Sans"/>
            <w:color w:val="0000ee"/>
            <w:sz w:val="24"/>
            <w:szCs w:val="24"/>
            <w:u w:val="single"/>
            <w:rtl w:val="0"/>
          </w:rPr>
          <w:t xml:space="preserve">https://www.physics.ox.ac.uk/news/citizen-science-reveals-insight-jupiter</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Atmosphere of Jupiter - Wikipedia, accessed April 30, 2026, </w:t>
      </w:r>
      <w:hyperlink r:id="rId11">
        <w:r w:rsidDel="00000000" w:rsidR="00000000" w:rsidRPr="00000000">
          <w:rPr>
            <w:rFonts w:ascii="Google Sans" w:cs="Google Sans" w:eastAsia="Google Sans" w:hAnsi="Google Sans"/>
            <w:color w:val="0000ee"/>
            <w:sz w:val="24"/>
            <w:szCs w:val="24"/>
            <w:u w:val="single"/>
            <w:rtl w:val="0"/>
          </w:rPr>
          <w:t xml:space="preserve">https://en.wikipedia.org/wiki/Atmosphere_of_Jupiter</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Jupiter, it's mushballs all the way down | University of California, accessed April 30, 2026, </w:t>
      </w:r>
      <w:hyperlink r:id="rId12">
        <w:r w:rsidDel="00000000" w:rsidR="00000000" w:rsidRPr="00000000">
          <w:rPr>
            <w:rFonts w:ascii="Google Sans" w:cs="Google Sans" w:eastAsia="Google Sans" w:hAnsi="Google Sans"/>
            <w:color w:val="0000ee"/>
            <w:sz w:val="24"/>
            <w:szCs w:val="24"/>
            <w:u w:val="single"/>
            <w:rtl w:val="0"/>
          </w:rPr>
          <w:t xml:space="preserve">https://www.universityofcalifornia.edu/news/jupiter-its-mushballs-all-way-down</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Ammonia sparks unexpected, exotic lightning on Jupiter - Cornell Chronicle, accessed April 30, 2026, </w:t>
      </w:r>
      <w:hyperlink r:id="rId13">
        <w:r w:rsidDel="00000000" w:rsidR="00000000" w:rsidRPr="00000000">
          <w:rPr>
            <w:rFonts w:ascii="Google Sans" w:cs="Google Sans" w:eastAsia="Google Sans" w:hAnsi="Google Sans"/>
            <w:color w:val="0000ee"/>
            <w:sz w:val="24"/>
            <w:szCs w:val="24"/>
            <w:u w:val="single"/>
            <w:rtl w:val="0"/>
          </w:rPr>
          <w:t xml:space="preserve">https://news.cornell.edu/stories/2020/08/ammonia-sparks-unexpected-exotic-lightning-jupiter</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Swirling ammonia lies below Jupiter's thick clouds - EurekAlert!, accessed April 30, 2026, </w:t>
      </w:r>
      <w:hyperlink r:id="rId14">
        <w:r w:rsidDel="00000000" w:rsidR="00000000" w:rsidRPr="00000000">
          <w:rPr>
            <w:rFonts w:ascii="Google Sans" w:cs="Google Sans" w:eastAsia="Google Sans" w:hAnsi="Google Sans"/>
            <w:color w:val="0000ee"/>
            <w:sz w:val="24"/>
            <w:szCs w:val="24"/>
            <w:u w:val="single"/>
            <w:rtl w:val="0"/>
          </w:rPr>
          <w:t xml:space="preserve">https://www.eurekalert.org/news-releases/699204</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chemical disequilibrium, and geological constraints on Europa - PubMed, accessed April 30, 2026, </w:t>
      </w:r>
      <w:hyperlink r:id="rId15">
        <w:r w:rsidDel="00000000" w:rsidR="00000000" w:rsidRPr="00000000">
          <w:rPr>
            <w:rFonts w:ascii="Google Sans" w:cs="Google Sans" w:eastAsia="Google Sans" w:hAnsi="Google Sans"/>
            <w:color w:val="0000ee"/>
            <w:sz w:val="24"/>
            <w:szCs w:val="24"/>
            <w:u w:val="single"/>
            <w:rtl w:val="0"/>
          </w:rPr>
          <w:t xml:space="preserve">https://pubmed.ncbi.nlm.nih.gov/18163875/</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Acidification of Europa's Subsurface Ocean as a Consequence of Oxidant Delivery | Request PDF - ResearchGate, accessed April 30, 2026, </w:t>
      </w:r>
      <w:hyperlink r:id="rId16">
        <w:r w:rsidDel="00000000" w:rsidR="00000000" w:rsidRPr="00000000">
          <w:rPr>
            <w:rFonts w:ascii="Google Sans" w:cs="Google Sans" w:eastAsia="Google Sans" w:hAnsi="Google Sans"/>
            <w:color w:val="0000ee"/>
            <w:sz w:val="24"/>
            <w:szCs w:val="24"/>
            <w:u w:val="single"/>
            <w:rtl w:val="0"/>
          </w:rPr>
          <w:t xml:space="preserve">https://www.researchgate.net/publication/221782934_Acidification_of_Europa's_Subsurface_Ocean_as_a_Consequence_of_Oxidant_Delivery</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Transport rates of radiolytic substances into Europa's ocean: implications for the potential origin and maintenance of life - PubMed, accessed April 30, 2026, </w:t>
      </w:r>
      <w:hyperlink r:id="rId17">
        <w:r w:rsidDel="00000000" w:rsidR="00000000" w:rsidRPr="00000000">
          <w:rPr>
            <w:rFonts w:ascii="Google Sans" w:cs="Google Sans" w:eastAsia="Google Sans" w:hAnsi="Google Sans"/>
            <w:color w:val="0000ee"/>
            <w:sz w:val="24"/>
            <w:szCs w:val="24"/>
            <w:u w:val="single"/>
            <w:rtl w:val="0"/>
          </w:rPr>
          <w:t xml:space="preserve">https://pubmed.ncbi.nlm.nih.gov/20446868/</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Microbial communities at the borehole observatory on the Costa Rica Rift flank (Ocean Drilling Program Hole 896A) - ResearchGate, accessed April 30, 2026, </w:t>
      </w:r>
      <w:hyperlink r:id="rId18">
        <w:r w:rsidDel="00000000" w:rsidR="00000000" w:rsidRPr="00000000">
          <w:rPr>
            <w:rFonts w:ascii="Google Sans" w:cs="Google Sans" w:eastAsia="Google Sans" w:hAnsi="Google Sans"/>
            <w:color w:val="0000ee"/>
            <w:sz w:val="24"/>
            <w:szCs w:val="24"/>
            <w:u w:val="single"/>
            <w:rtl w:val="0"/>
          </w:rPr>
          <w:t xml:space="preserve">https://www.researchgate.net/publication/228106323_Microbial_communities_at_the_borehole_observatory_on_the_Costa_Rica_Rift_flank_Ocean_Drilling_Program_Hole_896A</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Microbial Ecology of the Dark Ocean above, at, and below the Seafloor - PMC, accessed April 30, 2026,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https://pmc.ncbi.nlm.nih.gov/articles/PMC3122624/</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Geomicrobiological processes in extreme environments: A review - episodes.org, accessed April 30, 2026, </w:t>
      </w:r>
      <w:hyperlink r:id="rId20">
        <w:r w:rsidDel="00000000" w:rsidR="00000000" w:rsidRPr="00000000">
          <w:rPr>
            <w:rFonts w:ascii="Google Sans" w:cs="Google Sans" w:eastAsia="Google Sans" w:hAnsi="Google Sans"/>
            <w:color w:val="0000ee"/>
            <w:sz w:val="24"/>
            <w:szCs w:val="24"/>
            <w:u w:val="single"/>
            <w:rtl w:val="0"/>
          </w:rPr>
          <w:t xml:space="preserve">https://www.episodes.org/journal/download_pdf.php?doi=10.18814/epiiugs/2007/v30i3/003</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Atmospherically Relevant Radicals Derived from the Oxidation of Dimethyl Sulfide - PubMed, accessed April 30, 2026, </w:t>
      </w:r>
      <w:hyperlink r:id="rId21">
        <w:r w:rsidDel="00000000" w:rsidR="00000000" w:rsidRPr="00000000">
          <w:rPr>
            <w:rFonts w:ascii="Google Sans" w:cs="Google Sans" w:eastAsia="Google Sans" w:hAnsi="Google Sans"/>
            <w:color w:val="0000ee"/>
            <w:sz w:val="24"/>
            <w:szCs w:val="24"/>
            <w:u w:val="single"/>
            <w:rtl w:val="0"/>
          </w:rPr>
          <w:t xml:space="preserve">https://pubmed.ncbi.nlm.nih.gov/29393624/</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airborne sampling reveals a previously unobserved dimethyl sulfide oxidation mechanism in the marine atmosphere - the NOAA Institutional Repository, accessed April 30, 2026, </w:t>
      </w:r>
      <w:hyperlink r:id="rId22">
        <w:r w:rsidDel="00000000" w:rsidR="00000000" w:rsidRPr="00000000">
          <w:rPr>
            <w:rFonts w:ascii="Google Sans" w:cs="Google Sans" w:eastAsia="Google Sans" w:hAnsi="Google Sans"/>
            <w:color w:val="0000ee"/>
            <w:sz w:val="24"/>
            <w:szCs w:val="24"/>
            <w:u w:val="single"/>
            <w:rtl w:val="0"/>
          </w:rPr>
          <w:t xml:space="preserve">https://repository.library.noaa.gov/view/noaa/25002/noaa_25002_DS1.pdf</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Contribution of expanded marine sulfur chemistry to the seasonal variability of dimethyl sulfide oxidation products and size-resolved sulfate aerosol - Copernicus ACP, accessed April 30, 2026, </w:t>
      </w:r>
      <w:hyperlink r:id="rId23">
        <w:r w:rsidDel="00000000" w:rsidR="00000000" w:rsidRPr="00000000">
          <w:rPr>
            <w:rFonts w:ascii="Google Sans" w:cs="Google Sans" w:eastAsia="Google Sans" w:hAnsi="Google Sans"/>
            <w:color w:val="0000ee"/>
            <w:sz w:val="24"/>
            <w:szCs w:val="24"/>
            <w:u w:val="single"/>
            <w:rtl w:val="0"/>
          </w:rPr>
          <w:t xml:space="preserve">https://acp.copernicus.org/articles/24/3379/2024/</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Dimethylsulfide oxidation over the tropical South Atlantic: OH and other oxidants - NASA Technical Reports Server (NTRS), accessed April 30, 2026, </w:t>
      </w:r>
      <w:hyperlink r:id="rId24">
        <w:r w:rsidDel="00000000" w:rsidR="00000000" w:rsidRPr="00000000">
          <w:rPr>
            <w:rFonts w:ascii="Google Sans" w:cs="Google Sans" w:eastAsia="Google Sans" w:hAnsi="Google Sans"/>
            <w:color w:val="0000ee"/>
            <w:sz w:val="24"/>
            <w:szCs w:val="24"/>
            <w:u w:val="single"/>
            <w:rtl w:val="0"/>
          </w:rPr>
          <w:t xml:space="preserve">https://ntrs.nasa.gov/citations/19950016513</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Swan band - Wikipedia, accessed April 30, 2026, </w:t>
      </w:r>
      <w:hyperlink r:id="rId25">
        <w:r w:rsidDel="00000000" w:rsidR="00000000" w:rsidRPr="00000000">
          <w:rPr>
            <w:rFonts w:ascii="Google Sans" w:cs="Google Sans" w:eastAsia="Google Sans" w:hAnsi="Google Sans"/>
            <w:color w:val="0000ee"/>
            <w:sz w:val="24"/>
            <w:szCs w:val="24"/>
            <w:u w:val="single"/>
            <w:rtl w:val="0"/>
          </w:rPr>
          <w:t xml:space="preserve">https://en.wikipedia.org/wiki/Swan_band</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Bunsen Burner, the Swan Bands and the Dicarbon Enigma - Science Projects and Ideas for Amateur Experimenters, accessed April 30, 2026, </w:t>
      </w:r>
      <w:hyperlink r:id="rId26">
        <w:r w:rsidDel="00000000" w:rsidR="00000000" w:rsidRPr="00000000">
          <w:rPr>
            <w:rFonts w:ascii="Google Sans" w:cs="Google Sans" w:eastAsia="Google Sans" w:hAnsi="Google Sans"/>
            <w:color w:val="0000ee"/>
            <w:sz w:val="24"/>
            <w:szCs w:val="24"/>
            <w:u w:val="single"/>
            <w:rtl w:val="0"/>
          </w:rPr>
          <w:t xml:space="preserve">https://stevesopenlab.org/bunsen-burner-swan-bands-the-dicarbon-enigma/</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Optical Emission from C2– Anions in Microwave-Activated CH4/H2 Plasmas for Chemical Vapor Deposition of Diamond | The Journal of Physical Chemistry A - ACS Publications, accessed April 30, 2026, </w:t>
      </w:r>
      <w:hyperlink r:id="rId27">
        <w:r w:rsidDel="00000000" w:rsidR="00000000" w:rsidRPr="00000000">
          <w:rPr>
            <w:rFonts w:ascii="Google Sans" w:cs="Google Sans" w:eastAsia="Google Sans" w:hAnsi="Google Sans"/>
            <w:color w:val="0000ee"/>
            <w:sz w:val="24"/>
            <w:szCs w:val="24"/>
            <w:u w:val="single"/>
            <w:rtl w:val="0"/>
          </w:rPr>
          <w:t xml:space="preserve">https://pubs.acs.org/doi/10.1021/acs.jpca.7b00814</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Optical Emission Diagnostics Of Laser Produced Plasma From Graphite And Yba2cu3o7 - Purdue Engineering, accessed April 30, 2026, </w:t>
      </w:r>
      <w:hyperlink r:id="rId28">
        <w:r w:rsidDel="00000000" w:rsidR="00000000" w:rsidRPr="00000000">
          <w:rPr>
            <w:rFonts w:ascii="Google Sans" w:cs="Google Sans" w:eastAsia="Google Sans" w:hAnsi="Google Sans"/>
            <w:color w:val="0000ee"/>
            <w:sz w:val="24"/>
            <w:szCs w:val="24"/>
            <w:u w:val="single"/>
            <w:rtl w:val="0"/>
          </w:rPr>
          <w:t xml:space="preserve">https://engineering.purdue.edu/CMUXE/Publications/Harilal/Harilal-thesis.pdf</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Swan bands - University of Toledo, accessed April 30, 2026, </w:t>
      </w:r>
      <w:hyperlink r:id="rId29">
        <w:r w:rsidDel="00000000" w:rsidR="00000000" w:rsidRPr="00000000">
          <w:rPr>
            <w:rFonts w:ascii="Google Sans" w:cs="Google Sans" w:eastAsia="Google Sans" w:hAnsi="Google Sans"/>
            <w:color w:val="0000ee"/>
            <w:sz w:val="24"/>
            <w:szCs w:val="24"/>
            <w:u w:val="single"/>
            <w:rtl w:val="0"/>
          </w:rPr>
          <w:t xml:space="preserve">https://astro1.panet.utoledo.edu/~ljc/swan.pdf</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Spectroscopy of C2: A Cosmic Beacon | Accounts of Chemical Research, accessed April 30, 2026, </w:t>
      </w:r>
      <w:hyperlink r:id="rId30">
        <w:r w:rsidDel="00000000" w:rsidR="00000000" w:rsidRPr="00000000">
          <w:rPr>
            <w:rFonts w:ascii="Google Sans" w:cs="Google Sans" w:eastAsia="Google Sans" w:hAnsi="Google Sans"/>
            <w:color w:val="0000ee"/>
            <w:sz w:val="24"/>
            <w:szCs w:val="24"/>
            <w:u w:val="single"/>
            <w:rtl w:val="0"/>
          </w:rPr>
          <w:t xml:space="preserve">https://pubs.acs.org/doi/10.1021/acs.accounts.0c00703</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Orchestrated objective reduction - Wikipedia, accessed April 30, 2026, </w:t>
      </w:r>
      <w:hyperlink r:id="rId31">
        <w:r w:rsidDel="00000000" w:rsidR="00000000" w:rsidRPr="00000000">
          <w:rPr>
            <w:rFonts w:ascii="Google Sans" w:cs="Google Sans" w:eastAsia="Google Sans" w:hAnsi="Google Sans"/>
            <w:color w:val="0000ee"/>
            <w:sz w:val="24"/>
            <w:szCs w:val="24"/>
            <w:u w:val="single"/>
            <w:rtl w:val="0"/>
          </w:rPr>
          <w:t xml:space="preserve">https://en.wikipedia.org/wiki/Orchestrated_objective_reduction</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Orch OR | Stuart Hameroff, MD, accessed April 30, 2026, </w:t>
      </w:r>
      <w:hyperlink r:id="rId32">
        <w:r w:rsidDel="00000000" w:rsidR="00000000" w:rsidRPr="00000000">
          <w:rPr>
            <w:rFonts w:ascii="Google Sans" w:cs="Google Sans" w:eastAsia="Google Sans" w:hAnsi="Google Sans"/>
            <w:color w:val="0000ee"/>
            <w:sz w:val="24"/>
            <w:szCs w:val="24"/>
            <w:u w:val="single"/>
            <w:rtl w:val="0"/>
          </w:rPr>
          <w:t xml:space="preserve">https://hameroff.arizona.edu/research-overview/orch-or</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Consciousness Grid Theory Analysis, </w:t>
      </w:r>
      <w:hyperlink r:id="rId33">
        <w:r w:rsidDel="00000000" w:rsidR="00000000" w:rsidRPr="00000000">
          <w:rPr>
            <w:rFonts w:ascii="Google Sans" w:cs="Google Sans" w:eastAsia="Google Sans" w:hAnsi="Google Sans"/>
            <w:color w:val="0000ee"/>
            <w:sz w:val="24"/>
            <w:szCs w:val="24"/>
            <w:u w:val="single"/>
            <w:rtl w:val="0"/>
          </w:rPr>
          <w:t xml:space="preserve">https://drive.google.com/open?id=12WVSVrtlLqIigluQnMwTOvtJ7ZGGW3D9vNtny8jXlJ4</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Phlorotannins in Ecklonia Cava Extract Inhibit Matrix Metalloproteinase Activity - PubMed, accessed April 30, 2026, </w:t>
      </w:r>
      <w:hyperlink r:id="rId34">
        <w:r w:rsidDel="00000000" w:rsidR="00000000" w:rsidRPr="00000000">
          <w:rPr>
            <w:rFonts w:ascii="Google Sans" w:cs="Google Sans" w:eastAsia="Google Sans" w:hAnsi="Google Sans"/>
            <w:color w:val="0000ee"/>
            <w:sz w:val="24"/>
            <w:szCs w:val="24"/>
            <w:u w:val="single"/>
            <w:rtl w:val="0"/>
          </w:rPr>
          <w:t xml:space="preserve">https://pubmed.ncbi.nlm.nih.gov/16737716/</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Ecklonia cava Ameliorates Cognitive Impairment on Amyloid β-Induced Neurotoxicity by Modulating Oxidative Stress and Synaptic Function in Institute of Cancer Research (ICR) Mice - PMC, accessed April 30, 2026,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https://pmc.ncbi.nlm.nih.gov/articles/PMC11352165/</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Bioactive Compounds against Porcine Enteric Coronaviruses - MDPI, accessed April 30, 2026, </w:t>
      </w:r>
      <w:hyperlink r:id="rId36">
        <w:r w:rsidDel="00000000" w:rsidR="00000000" w:rsidRPr="00000000">
          <w:rPr>
            <w:rFonts w:ascii="Google Sans" w:cs="Google Sans" w:eastAsia="Google Sans" w:hAnsi="Google Sans"/>
            <w:color w:val="0000ee"/>
            <w:sz w:val="24"/>
            <w:szCs w:val="24"/>
            <w:u w:val="single"/>
            <w:rtl w:val="0"/>
          </w:rPr>
          <w:t xml:space="preserve">https://www.mdpi.com/1999-4915/14/10/2217</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Chromatography Doesn't Lie: Nootropics Depot Reveals Industry-Wide Ecklonia Cava Quality Crisis - The PricePlow Blog, accessed April 30, 2026, </w:t>
      </w:r>
      <w:hyperlink r:id="rId37">
        <w:r w:rsidDel="00000000" w:rsidR="00000000" w:rsidRPr="00000000">
          <w:rPr>
            <w:rFonts w:ascii="Google Sans" w:cs="Google Sans" w:eastAsia="Google Sans" w:hAnsi="Google Sans"/>
            <w:color w:val="0000ee"/>
            <w:sz w:val="24"/>
            <w:szCs w:val="24"/>
            <w:u w:val="single"/>
            <w:rtl w:val="0"/>
          </w:rPr>
          <w:t xml:space="preserve">https://blog.priceplow.com/supplement-research/ecklonia-cava/lab-tests</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Anti-Neuroinflammatory Property of Phlorotannins from Ecklonia cava on Aβ25-35-Induced Damage in PC12 Cells - PMC, accessed April 30, 2026,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https://pmc.ncbi.nlm.nih.gov/articles/PMC6356621/</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of Marine Natural Products against Alzheimer's Disease: Past, Present and Future - ResearchGate, accessed April 30, 2026, </w:t>
      </w:r>
      <w:hyperlink r:id="rId39">
        <w:r w:rsidDel="00000000" w:rsidR="00000000" w:rsidRPr="00000000">
          <w:rPr>
            <w:rFonts w:ascii="Google Sans" w:cs="Google Sans" w:eastAsia="Google Sans" w:hAnsi="Google Sans"/>
            <w:color w:val="0000ee"/>
            <w:sz w:val="24"/>
            <w:szCs w:val="24"/>
            <w:u w:val="single"/>
            <w:rtl w:val="0"/>
          </w:rPr>
          <w:t xml:space="preserve">https://www.researchgate.net/publication/366942559_Application_of_Marine_Natural_Products_against_Alzheimer's_Disease_Past_Present_and_Future</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Recent Developments in New Therapeutic Agents against Alzheimer and Parkinson Diseases: In-Silico Approaches - PMC, accessed April 30, 2026, </w:t>
      </w:r>
      <w:hyperlink r:id="rId40">
        <w:r w:rsidDel="00000000" w:rsidR="00000000" w:rsidRPr="00000000">
          <w:rPr>
            <w:rFonts w:ascii="Google Sans" w:cs="Google Sans" w:eastAsia="Google Sans" w:hAnsi="Google Sans"/>
            <w:color w:val="0000ee"/>
            <w:sz w:val="24"/>
            <w:szCs w:val="24"/>
            <w:u w:val="single"/>
            <w:rtl w:val="0"/>
          </w:rPr>
          <w:t xml:space="preserve">https://pmc.ncbi.nlm.nih.gov/articles/PMC8069930/</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Bioactive Properties of Marine Phenolics - PMC - NIH, accessed April 30, 2026,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https://pmc.ncbi.nlm.nih.gov/articles/PMC7601137/</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Ecklonia Cava Extract - Super Antioxidant &amp; Beyond, accessed April 30, 2026, </w:t>
      </w:r>
      <w:hyperlink r:id="rId42">
        <w:r w:rsidDel="00000000" w:rsidR="00000000" w:rsidRPr="00000000">
          <w:rPr>
            <w:rFonts w:ascii="Google Sans" w:cs="Google Sans" w:eastAsia="Google Sans" w:hAnsi="Google Sans"/>
            <w:color w:val="0000ee"/>
            <w:sz w:val="24"/>
            <w:szCs w:val="24"/>
            <w:u w:val="single"/>
            <w:rtl w:val="0"/>
          </w:rPr>
          <w:t xml:space="preserve">https://www.springboard4health.com/notebook/nutrients_ecklonia.html</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Marine Phenolics - MDPI, accessed April 30, 2026, </w:t>
      </w:r>
      <w:hyperlink r:id="rId43">
        <w:r w:rsidDel="00000000" w:rsidR="00000000" w:rsidRPr="00000000">
          <w:rPr>
            <w:rFonts w:ascii="Google Sans" w:cs="Google Sans" w:eastAsia="Google Sans" w:hAnsi="Google Sans"/>
            <w:color w:val="0000ee"/>
            <w:sz w:val="24"/>
            <w:szCs w:val="24"/>
            <w:u w:val="single"/>
            <w:rtl w:val="0"/>
          </w:rPr>
          <w:t xml:space="preserve">https://mdpi-res.com/bookfiles/book/4147/Marine_Phenolics.pdf?v=1705061385</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Cytoprotective Effect of Eckol Against Oxidative Stress-Induced Mitochondrial Dysfunction: Involvement of the FoxO3a/AMPK Pathway | Request PDF - ResearchGate, accessed April 30, 2026, </w:t>
      </w:r>
      <w:hyperlink r:id="rId44">
        <w:r w:rsidDel="00000000" w:rsidR="00000000" w:rsidRPr="00000000">
          <w:rPr>
            <w:rFonts w:ascii="Google Sans" w:cs="Google Sans" w:eastAsia="Google Sans" w:hAnsi="Google Sans"/>
            <w:color w:val="0000ee"/>
            <w:sz w:val="24"/>
            <w:szCs w:val="24"/>
            <w:u w:val="single"/>
            <w:rtl w:val="0"/>
          </w:rPr>
          <w:t xml:space="preserve">https://www.researchgate.net/publication/261374491_Cytoprotective_Effect_of_Eckol_Against_Oxidative_Stress-Induced_Mitochondrial_Dysfunction_Involvement_of_the_FoxO3aAMPK_Pathway</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Been a while — got something real for you, </w:t>
      </w:r>
      <w:hyperlink r:id="rId45">
        <w:r w:rsidDel="00000000" w:rsidR="00000000" w:rsidRPr="00000000">
          <w:rPr>
            <w:rFonts w:ascii="Google Sans" w:cs="Google Sans" w:eastAsia="Google Sans" w:hAnsi="Google Sans"/>
            <w:color w:val="0000ee"/>
            <w:sz w:val="24"/>
            <w:szCs w:val="24"/>
            <w:u w:val="single"/>
            <w:rtl w:val="0"/>
          </w:rPr>
          <w:t xml:space="preserve">https://mail.google.com/mail/u/0/#all/FMfcgzQgLXvPvctMXjPrcvfSncvpPcXs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mc.ncbi.nlm.nih.gov/articles/PMC8069930/" TargetMode="External"/><Relationship Id="rId20" Type="http://schemas.openxmlformats.org/officeDocument/2006/relationships/hyperlink" Target="https://www.episodes.org/journal/download_pdf.php?doi=10.18814/epiiugs/2007/v30i3/003" TargetMode="External"/><Relationship Id="rId42" Type="http://schemas.openxmlformats.org/officeDocument/2006/relationships/hyperlink" Target="https://www.springboard4health.com/notebook/nutrients_ecklonia.html" TargetMode="External"/><Relationship Id="rId41" Type="http://schemas.openxmlformats.org/officeDocument/2006/relationships/hyperlink" Target="https://pmc.ncbi.nlm.nih.gov/articles/PMC7601137/" TargetMode="External"/><Relationship Id="rId22" Type="http://schemas.openxmlformats.org/officeDocument/2006/relationships/hyperlink" Target="https://repository.library.noaa.gov/view/noaa/25002/noaa_25002_DS1.pdf" TargetMode="External"/><Relationship Id="rId44" Type="http://schemas.openxmlformats.org/officeDocument/2006/relationships/hyperlink" Target="https://www.researchgate.net/publication/261374491_Cytoprotective_Effect_of_Eckol_Against_Oxidative_Stress-Induced_Mitochondrial_Dysfunction_Involvement_of_the_FoxO3aAMPK_Pathway" TargetMode="External"/><Relationship Id="rId21" Type="http://schemas.openxmlformats.org/officeDocument/2006/relationships/hyperlink" Target="https://pubmed.ncbi.nlm.nih.gov/29393624/" TargetMode="External"/><Relationship Id="rId43" Type="http://schemas.openxmlformats.org/officeDocument/2006/relationships/hyperlink" Target="https://mdpi-res.com/bookfiles/book/4147/Marine_Phenolics.pdf?v=1705061385" TargetMode="External"/><Relationship Id="rId24" Type="http://schemas.openxmlformats.org/officeDocument/2006/relationships/hyperlink" Target="https://ntrs.nasa.gov/citations/19950016513" TargetMode="External"/><Relationship Id="rId23" Type="http://schemas.openxmlformats.org/officeDocument/2006/relationships/hyperlink" Target="https://acp.copernicus.org/articles/24/3379/2024/" TargetMode="External"/><Relationship Id="rId45" Type="http://schemas.openxmlformats.org/officeDocument/2006/relationships/hyperlink" Target="https://mail.google.com/mail/u/0/#all/FMfcgzQgLXvPvctMXjPrcvfSncvpPcX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268822319_Study_of_Venus_cloud_layers_with_polarimetric_data_from_SPICAVVEx" TargetMode="External"/><Relationship Id="rId26" Type="http://schemas.openxmlformats.org/officeDocument/2006/relationships/hyperlink" Target="https://stevesopenlab.org/bunsen-burner-swan-bands-the-dicarbon-enigma/" TargetMode="External"/><Relationship Id="rId25" Type="http://schemas.openxmlformats.org/officeDocument/2006/relationships/hyperlink" Target="https://en.wikipedia.org/wiki/Swan_band" TargetMode="External"/><Relationship Id="rId28" Type="http://schemas.openxmlformats.org/officeDocument/2006/relationships/hyperlink" Target="https://engineering.purdue.edu/CMUXE/Publications/Harilal/Harilal-thesis.pdf" TargetMode="External"/><Relationship Id="rId27" Type="http://schemas.openxmlformats.org/officeDocument/2006/relationships/hyperlink" Target="https://pubs.acs.org/doi/10.1021/acs.jpca.7b00814" TargetMode="External"/><Relationship Id="rId5" Type="http://schemas.openxmlformats.org/officeDocument/2006/relationships/styles" Target="styles.xml"/><Relationship Id="rId6" Type="http://schemas.openxmlformats.org/officeDocument/2006/relationships/hyperlink" Target="https://drive.google.com/open?id=1JwbThRALLROoEGC3QhXS_e2JO31GwZ-yu5qZlijCYyo" TargetMode="External"/><Relationship Id="rId29" Type="http://schemas.openxmlformats.org/officeDocument/2006/relationships/hyperlink" Target="https://astro1.panet.utoledo.edu/~ljc/swan.pdf" TargetMode="External"/><Relationship Id="rId7" Type="http://schemas.openxmlformats.org/officeDocument/2006/relationships/hyperlink" Target="https://news.uchicago.edu/story/computer-models-let-scientists-peer-mystery-beneath-jupiters-clouds" TargetMode="External"/><Relationship Id="rId8" Type="http://schemas.openxmlformats.org/officeDocument/2006/relationships/hyperlink" Target="https://pmc.ncbi.nlm.nih.gov/articles/PMC7996924/" TargetMode="External"/><Relationship Id="rId31" Type="http://schemas.openxmlformats.org/officeDocument/2006/relationships/hyperlink" Target="https://en.wikipedia.org/wiki/Orchestrated_objective_reduction" TargetMode="External"/><Relationship Id="rId30" Type="http://schemas.openxmlformats.org/officeDocument/2006/relationships/hyperlink" Target="https://pubs.acs.org/doi/10.1021/acs.accounts.0c00703" TargetMode="External"/><Relationship Id="rId11" Type="http://schemas.openxmlformats.org/officeDocument/2006/relationships/hyperlink" Target="https://en.wikipedia.org/wiki/Atmosphere_of_Jupiter" TargetMode="External"/><Relationship Id="rId33" Type="http://schemas.openxmlformats.org/officeDocument/2006/relationships/hyperlink" Target="https://drive.google.com/open?id=12WVSVrtlLqIigluQnMwTOvtJ7ZGGW3D9vNtny8jXlJ4" TargetMode="External"/><Relationship Id="rId10" Type="http://schemas.openxmlformats.org/officeDocument/2006/relationships/hyperlink" Target="https://www.physics.ox.ac.uk/news/citizen-science-reveals-insight-jupiter" TargetMode="External"/><Relationship Id="rId32" Type="http://schemas.openxmlformats.org/officeDocument/2006/relationships/hyperlink" Target="https://hameroff.arizona.edu/research-overview/orch-or" TargetMode="External"/><Relationship Id="rId13" Type="http://schemas.openxmlformats.org/officeDocument/2006/relationships/hyperlink" Target="https://news.cornell.edu/stories/2020/08/ammonia-sparks-unexpected-exotic-lightning-jupiter" TargetMode="External"/><Relationship Id="rId35" Type="http://schemas.openxmlformats.org/officeDocument/2006/relationships/hyperlink" Target="https://pmc.ncbi.nlm.nih.gov/articles/PMC11352165/" TargetMode="External"/><Relationship Id="rId12" Type="http://schemas.openxmlformats.org/officeDocument/2006/relationships/hyperlink" Target="https://www.universityofcalifornia.edu/news/jupiter-its-mushballs-all-way-down" TargetMode="External"/><Relationship Id="rId34" Type="http://schemas.openxmlformats.org/officeDocument/2006/relationships/hyperlink" Target="https://pubmed.ncbi.nlm.nih.gov/16737716/" TargetMode="External"/><Relationship Id="rId15" Type="http://schemas.openxmlformats.org/officeDocument/2006/relationships/hyperlink" Target="https://pubmed.ncbi.nlm.nih.gov/18163875/" TargetMode="External"/><Relationship Id="rId37" Type="http://schemas.openxmlformats.org/officeDocument/2006/relationships/hyperlink" Target="https://blog.priceplow.com/supplement-research/ecklonia-cava/lab-tests" TargetMode="External"/><Relationship Id="rId14" Type="http://schemas.openxmlformats.org/officeDocument/2006/relationships/hyperlink" Target="https://www.eurekalert.org/news-releases/699204" TargetMode="External"/><Relationship Id="rId36" Type="http://schemas.openxmlformats.org/officeDocument/2006/relationships/hyperlink" Target="https://www.mdpi.com/1999-4915/14/10/2217" TargetMode="External"/><Relationship Id="rId17" Type="http://schemas.openxmlformats.org/officeDocument/2006/relationships/hyperlink" Target="https://pubmed.ncbi.nlm.nih.gov/20446868/" TargetMode="External"/><Relationship Id="rId39" Type="http://schemas.openxmlformats.org/officeDocument/2006/relationships/hyperlink" Target="https://www.researchgate.net/publication/366942559_Application_of_Marine_Natural_Products_against_Alzheimer's_Disease_Past_Present_and_Future" TargetMode="External"/><Relationship Id="rId16" Type="http://schemas.openxmlformats.org/officeDocument/2006/relationships/hyperlink" Target="https://www.researchgate.net/publication/221782934_Acidification_of_Europa's_Subsurface_Ocean_as_a_Consequence_of_Oxidant_Delivery" TargetMode="External"/><Relationship Id="rId38" Type="http://schemas.openxmlformats.org/officeDocument/2006/relationships/hyperlink" Target="https://pmc.ncbi.nlm.nih.gov/articles/PMC6356621/" TargetMode="External"/><Relationship Id="rId19" Type="http://schemas.openxmlformats.org/officeDocument/2006/relationships/hyperlink" Target="https://pmc.ncbi.nlm.nih.gov/articles/PMC3122624/" TargetMode="External"/><Relationship Id="rId18" Type="http://schemas.openxmlformats.org/officeDocument/2006/relationships/hyperlink" Target="https://www.researchgate.net/publication/228106323_Microbial_communities_at_the_borehole_observatory_on_the_Costa_Rica_Rift_flank_Ocean_Drilling_Program_Hole_896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