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Socio-Economic Transformation and Spatial Equity in Jacó, Costa Rica: An Analysis of Gentrification, Displacement, and Mathematical Frameworks for Community Reclamation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evolution of Jacó, Costa Rica, from a tranquil coastal village into a high-liquidity international real estate hub serves as a primary case study for the phenomenon of coastal gentrification in the Global South. This transformation is characterized by a profound disconnect between the economic realities of the local workforce and a speculative investment market driven by short-term rentals (STRs) and "residential tourism." As of 2026, the structural imbalances in Jacó reflect a "nature-infrastructure paradox," where environmental beauty attracts capital that eventually undermines it through exclusionary urban forms and the displacement of the community's cultural lifeblood.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Dual Economy: Analysis of the 2026 Infographic Data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real estate market in Jacó has transitioned into a "premium segment" dominated by foreign cash buyers, creating a dual economy where property values are untethered from local purchasing power. This decoupling is quantified by the price-to-income ratio, where median home prices in gentrifying coastal zones often exceed average annual local incomes by a factor of 15 to 20.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Salary vs. Rent: The Mathematics of Exclusion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2026 infographic data reveals a stark mathematical impossibility. For the vast majority of Tico workers, the "minimum" cost of local housing consumes over 100% of their monthly income.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Employment Sector (Jacó 2026)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Typical Monthly Salary (USD)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Average Rent (Jacó Area)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Restaurant / Hotel Staff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$500 – $900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$900 – $1,200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Basic / Small Units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Retail / Sales / Basic Admin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$600 – $1,100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$1,200 – $1,800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Typical 1-2 Bedroom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Tourism Jobs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$700 – $1,300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$1,800 – $3,000+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Newer Condos / Beachfront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 Estate / Property Mgmt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$800 – $1,500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Professional / Tech / Corp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$1,200 – $2,500+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Wage (2026 Approx)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$730 – $800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gap forces the local population—the people whose kindness and "Pura Vida" spirit are the actual attraction for many visitors—to relocate to peripheral "dormitory" towns, while high-rise "sardine cans" filled with identical Ikea furniture block the very skyline they were built to capitalize on.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Socio-Spatial Displacement: The Orotina-Herradura-Parrita Hubs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workforce that powers Jacó’s hotels, restaurants, and tours is increasingly displaced to neighboring municipalities. This creates a "commute tax" that further strains local incomes and disrupts the social cohesion of the region.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Parrita (43 km from Jacó):</w:t>
      </w:r>
      <w:r w:rsidDel="00000000" w:rsidR="00000000" w:rsidRPr="00000000">
        <w:rPr>
          <w:rtl w:val="0"/>
        </w:rPr>
        <w:t xml:space="preserve"> A primary residential hub. The commute takes 39–63 minutes by bus, costing between $1 and $7 per trip.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Herradura:</w:t>
      </w:r>
      <w:r w:rsidDel="00000000" w:rsidR="00000000" w:rsidRPr="00000000">
        <w:rPr>
          <w:rtl w:val="0"/>
        </w:rPr>
        <w:t xml:space="preserve"> While closer to Jacó, it is experiencing its own wave of high-density new construction, further pushing low-wage earners to more distant rural zones.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Orotina:</w:t>
      </w:r>
      <w:r w:rsidDel="00000000" w:rsidR="00000000" w:rsidRPr="00000000">
        <w:rPr>
          <w:rtl w:val="0"/>
        </w:rPr>
        <w:t xml:space="preserve"> Serves as a critical gateway and dormitory town, though the distance imposes significant time and fuel costs on workers seeking to return to their families each day.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displacement leads to "forced commuting," where locals move "way out in the sticks" because reasonably priced rentals in the center have been converted into short-term tourist units. This trend not only harms the worker but also "kills any sense of community" in Jacó's neighborhoods, replacing long-term residents with a transient population of tourists.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Cultural Erosion and the "Pura Vida" Divide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socio-economic shift has created visible resentment and a divide in the "Pura Vida" experience. Research indicates that the influx of foreigners with significantly higher budgets creates a "snowball effect" that kills the local sense of community.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Staged Authenticity vs. Reality:</w:t>
      </w:r>
      <w:r w:rsidDel="00000000" w:rsidR="00000000" w:rsidRPr="00000000">
        <w:rPr>
          <w:rtl w:val="0"/>
        </w:rPr>
        <w:t xml:space="preserve"> The "Ikea aesthetic" of modern condos represents a "staged authenticity" that ignores local architectural heritage in favor of a homogenized, globalized look designed for short-term profit.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Kindness Gap:</w:t>
      </w:r>
      <w:r w:rsidDel="00000000" w:rsidR="00000000" w:rsidRPr="00000000">
        <w:rPr>
          <w:rtl w:val="0"/>
        </w:rPr>
        <w:t xml:space="preserve"> Locals increasingly report a sense of "displacement in place," where they still work in the city but feel like strangers. This is exacerbated by a perceived lack of gratitude or respect from an international class that views the town as an investment vehicle rather than a home.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Resistance:</w:t>
      </w:r>
      <w:r w:rsidDel="00000000" w:rsidR="00000000" w:rsidRPr="00000000">
        <w:rPr>
          <w:rtl w:val="0"/>
        </w:rPr>
        <w:t xml:space="preserve"> In areas like Nosara, this resentment has manifested in "Gringo Go Home" signs, reflecting a community reaching a breaking point with "abusive rental prices" and the commodification of their land.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Mathematical Frameworks for Reclaiming the City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"Robin Hood the establishment," residents can utilize specific mathematical models to quantify the value being extracted and demand a fair redistribution of that wealth.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Relentless Monetization and the "Robin Hood Factor"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"Robin Hood" model of measuring success—dubbed </w:t>
      </w:r>
      <w:r w:rsidDel="00000000" w:rsidR="00000000" w:rsidRPr="00000000">
        <w:rPr>
          <w:b w:val="1"/>
          <w:bCs w:val="1"/>
          <w:rtl w:val="0"/>
        </w:rPr>
        <w:t xml:space="preserve">Relentless Monetization</w:t>
      </w:r>
      <w:r w:rsidDel="00000000" w:rsidR="00000000" w:rsidRPr="00000000">
        <w:rPr>
          <w:rtl w:val="0"/>
        </w:rPr>
        <w:t xml:space="preserve">—focuses on outcomes corrected for </w:t>
      </w:r>
      <w:r w:rsidDel="00000000" w:rsidR="00000000" w:rsidRPr="00000000">
        <w:rPr>
          <w:b w:val="1"/>
          <w:bCs w:val="1"/>
          <w:rtl w:val="0"/>
        </w:rPr>
        <w:t xml:space="preserve">displacement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counterfactuals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Displacement Correction:</w:t>
      </w:r>
      <w:r w:rsidDel="00000000" w:rsidR="00000000" w:rsidRPr="00000000">
        <w:rPr>
          <w:rtl w:val="0"/>
        </w:rPr>
        <w:t xml:space="preserve"> If a $3,000/month condo grant (or investment) displaces 5 local families, the "benefit" of that project must be subtracted by the social cost of those families' increased commutes and loss of housing.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Robin Hood Factor:</w:t>
      </w:r>
      <w:r w:rsidDel="00000000" w:rsidR="00000000" w:rsidRPr="00000000">
        <w:rPr>
          <w:rtl w:val="0"/>
        </w:rPr>
        <w:t xml:space="preserve"> This is a correction applied to metrics to ensure they don't overstate the power of a project while ignoring the harm done to low-income populations. Residents can use this to mathematically argue that current high-rise developments have a </w:t>
      </w:r>
      <w:r w:rsidDel="00000000" w:rsidR="00000000" w:rsidRPr="00000000">
        <w:rPr>
          <w:i w:val="1"/>
          <w:i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net benefit for the city’s collective well-being.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Dominant Resource Fairness (DRF)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environments with multiple resource types (e.g., land, capital, infrastructure), Dominant Resource Fairness (DRF) provides a mathematical framework for equitable allocation.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DRF seeks to maximize the minimum share received by any user. It prevents a "dominant user" (international capital) from monopolizing land if it results in the "starvation" of housing resources for the local community.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Envy-Freeness:</w:t>
      </w:r>
      <w:r w:rsidDel="00000000" w:rsidR="00000000" w:rsidRPr="00000000">
        <w:rPr>
          <w:rtl w:val="0"/>
        </w:rPr>
        <w:t xml:space="preserve"> A core property of DRF is that no user prefers the allocation of another, a state that is currently non-existent in Jacó.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Proportional Design and the Golden Ratio (\phi)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combat "sardine-like" density, urban codes should be based on the Golden Ratio (\phi \approx 1.618). This creates "human-scale" architecture that fosters social relationship.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Human-Centricity:</w:t>
      </w:r>
      <w:r w:rsidDel="00000000" w:rsidR="00000000" w:rsidRPr="00000000">
        <w:rPr>
          <w:rtl w:val="0"/>
        </w:rPr>
        <w:t xml:space="preserve"> Unlike the "jarring" proportions of speculative high-rises, \phi-based design resonates with the human body’s proportions, creating a built environment that feels "alive" and respectful of the human scale.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Actionable Recommendations for Local Reclamation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Community Land Trusts (CLTs):</w:t>
      </w:r>
      <w:r w:rsidDel="00000000" w:rsidR="00000000" w:rsidRPr="00000000">
        <w:rPr>
          <w:rtl w:val="0"/>
        </w:rPr>
        <w:t xml:space="preserve"> Establish a local trust where the community owns the land and the residents own the structures. This decouples local housing from the speculative international market and prevents displacement to Parrita or Orotina.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Participatory Budgeting and Land Value Capture:</w:t>
      </w:r>
      <w:r w:rsidDel="00000000" w:rsidR="00000000" w:rsidRPr="00000000">
        <w:rPr>
          <w:rtl w:val="0"/>
        </w:rPr>
        <w:t xml:space="preserve"> Implement "Land Value Capture" (LVC) to recover a portion of the unearned increase in land value driven by public infrastructure and tourist demand. These funds should be ring-fenced for local housing subsidies.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Local "ValueSum" Ranking:</w:t>
      </w:r>
      <w:r w:rsidDel="00000000" w:rsidR="00000000" w:rsidRPr="00000000">
        <w:rPr>
          <w:rtl w:val="0"/>
        </w:rPr>
        <w:t xml:space="preserve"> Create a public algorithm to rank new developments based on local values (e.g., local hire percentages, environmental footprint, and contribution to the local housing fund) rather than just ROI.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Transit Justice:</w:t>
      </w:r>
      <w:r w:rsidDel="00000000" w:rsidR="00000000" w:rsidRPr="00000000">
        <w:rPr>
          <w:rtl w:val="0"/>
        </w:rPr>
        <w:t xml:space="preserve"> Use revenue from municipal Airbnb licenses to provide free or heavily subsidized "Worker Express" transit from Orotina and Parrita until local housing parity is restored.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By integrating "Robin Hood Math" with the "Right to the City" framework, the people of Jacó can move from being "insignificant numbers" to active architects of an equitable future.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Works cited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tesis doctoral, https://www.tdx.cat/bitstream/10803/671454/1/tecm1de1.pdf 2. Cost of Living in Jaco Costa Rica 2024 – Full Guide for Foreign Buyers, https://www.jacocoldwellbanker.com/article/cost-of-living-in-jaco-costa-rica-2024-breakdown-for-foreign-buyers 3. The "AirBnB Effect" in Costa Rica | centralamerica.com, https://www.centralamerica.com/experiencing/travel/airbnb-effect-in-costa-rica/ 4. *1 min walk to DT Mt. Dora! King bed! LUXE rental - Cottages for Rent in Mount Dora, Florida, United States - Airbnb, https://www.airbnb.com/rooms/49847289 5. Community Wealth Building for a well‑being economy | OECD, https://www.oecd.org/en/publications/providing-local-actors-with-case-studies-evidence-and-solutions-places_eb108047-en/community-wealth-building-for-a-well-being-economy_afdeefcd-en.html 6. Cost of Living in Costa Rica: Example Table of Monthly Expenses 2025 - International Living, https://internationalliving.com/countries/costa-rica/cost-of-living-in-costa-rica/ 7. Digital Nomads: Are We Done With Airbnb? My Experience Since 2018 - Reddit, https://www.reddit.com/r/digitalnomad/comments/1hn0p6h/digital_nomads_are_we_done_with_airbnb_my/ 8. Community Wealth Building — The Democracy Collaborative, https://www.democracycollaborative.org/community-wealth-building 9. UNIVERSIDAD TÉCNICA NACIONAL - Repositorio UTN, https://repositorio.utn.ac.cr/bitstreams/123d62b0-24df-4469-9308-7a69b4111a3e/download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