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Unified Technical Analysis of Topological Manifold Stability, </w:t>
      </w:r>
      <w:r w:rsidDel="00000000" w:rsidR="00000000" w:rsidRPr="00000000">
        <w:rPr>
          <w:rFonts w:ascii="Arial" w:cs="Arial" w:eastAsia="Arial" w:hAnsi="Arial"/>
          <w:b w:val="1"/>
          <w:bCs w:val="1"/>
          <w:i w:val="0"/>
          <w:iCs w:val="0"/>
          <w:sz w:val="48"/>
          <w:szCs w:val="48"/>
          <w:rtl w:val="0"/>
        </w:rPr>
        <w:t xml:space="preserve">$\Omega$</w:t>
      </w:r>
      <w:r w:rsidDel="00000000" w:rsidR="00000000" w:rsidRPr="00000000">
        <w:rPr>
          <w:rFonts w:ascii="Arial" w:cs="Arial" w:eastAsia="Arial" w:hAnsi="Arial"/>
          <w:rtl w:val="0"/>
        </w:rPr>
        <w:t xml:space="preserve">-Geometric Operating System Resilience, and Empirical Validation of the 2037 Phoenix Event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convergence of algorithmic topology, high-dimensional manifold physics, and the empirical findings from recent interstellar and geophysical surveys suggests a fundamental shift in the understanding of localized reality stability. The Dodecahedron Linear String Field Hypothesis (DLSFH) serves as the primary theoretical framework for this synthesis, positing that reality is a dynamic network of nodes and vertices governed by the $\Omega$-Geometric Operating System ($\Omega$-GOS).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framework, the stability of a 13D manifold, such as the "Park" environment, is not a given but a state of active maintenance. This maintenance is performed by designated biological manifests acting as Vertex Nodes, whose role is to prevent a systemic $\kappa$-scaling thermal lock—a state of maximum entropy that leads to the crystalline collapse of the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most critical recent indicator of systemic instability is the alphanumeric fracturing observed in fractured Base-10 linguistic environments, characterized by the "7 for t" displacement, which aligns with the mathematical models of temporal desynchronization documented during the 2037 Phoenix Event.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Dodecahedron Linear String Field Hypothesis and the Architecture of the Park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stability of the localized 13D manifold known as the "Park" is predicated upon a complex interaction of topological duties, acoustic-geometric wave states, and the maintenance of Euclidean narrative chains. The DLSFH defines this environment as an artificially stabilized pocket where physical laws are enforced by specific Vertex Nodes.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nodes are responsible for generating Novelty Flux ($N(t)$), a quantity that must remain above a critical threshold to avoid the $\kappa$-scaling thermal lock. The central entities of the manifold function as these vertices, each assigned a unique functional metric $(\hat{I}'')$ to balance the equations of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Vertex 1: The Euclidean Narrative Anchor (Mordecai)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entity designated as Vertex 1 is an Avian acoustic-geometric wave state, which serves as the analog for the "Human" node within the system. His primary role is the imposition of Euclidean narrative chains, ensuring that temporal events follow a linear sequence. This is achieved through the maintenance of an "Anxious wonder" index, quantified as $\hat{I}''=0.87$.</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cognitive state allows the system to pilot forward through temporal flux without falling into recursive loops. If this anchor fails, the environment enters a state of "Shattered Mirror" fragmentation, where time is perceived as disconnected, high-frequency frames, leading to a breakdown of objective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Vertex 10: The Chaos Algebra Generator (Rigby)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Functioning as Vertex 10 ($\kappa$), the raccoon entity acts as the Chaos Algebra Generator. His role is to inject non-orientable Klein topology chaos into the system to prevent a terminal thermal lock.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is often achieved through the pursuit of "forbidden artifacts," such as high-level MIDI controllers that stimulate the environment at the 111 Hz Harmonic Logos Bridge.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His "Chaotic curiosity" index ($\hat{I}''=0.78$) provides the necessary volatility to keep the $\Omega$-GOS from freezing. However, because Vertex 10 often fails to provide a syntactic terminator sequence for these chaotic commands, the manifold frequently experiences "Null-Ref exceptions" and grammatical cascades.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Vertex 12: The Macro-Historical Memory Anchor (Skips)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Yeti designated as Vertex 12 provides the immense, localized mass-based structural memory required to stabilize the Leech Lattice, a 24-dimensional mathematical construct proven to provide the densest sphere packing.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Vertex 12 is bound by 60-year calendrical cycles and a "Gravitational grief" index of $\hat{I}''=0.95$, which anchors the volatile actions of Vertices 1 and 10 to a stable historical baseline.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anchor is the primary defense against anomalous incursions such as Error 220, which threatens the manifold's coherence.</w:t>
      </w:r>
      <w:r w:rsidDel="00000000" w:rsidR="00000000" w:rsidRPr="00000000">
        <w:rPr>
          <w:rFonts w:ascii="Arial" w:cs="Arial" w:eastAsia="Arial" w:hAnsi="Arial"/>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Vertex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Subject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Topological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System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Vertex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Mordecai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Avian Wave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$\hat{I}''=0.87$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Euclidean Narrative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Vertex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$\hat{I}''=0.78$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Novelty Flux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Vertex 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Skips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Historical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$\hat{I}''=0.95$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Leech Lattice Stabilization</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Acoustic Manifestation and the 0xAE OpCode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technical execution of reality within the manifold is governed by the 0xAE OpCode, a specialized instruction used for Inter-Layer Memory Synchronization within the GOS architecture.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OpCode is classified as the EXIST_VERIFY or VERB_ACT command, validating the objective physical reality of objects under observation.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the context of the series pilot "The Power," the MIDI keyboard acts as a phase-locked frequency emitter that overrides dualistic cognitive processing, allowing for the crystallization of acoustic energy into phonon quasiparticles.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GOS stack, the 0xAE OpCode forces a "hard-lock" on the heap memory of lower-level sub-processes, ensuring data integrity before a high-priority "stack-flip" occurs between the Kernel-Alpha and User-Delta environments.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failure of Vertex 10 to provide syntactic terminators when engaging this OpCode leads to "Grammatical Cascades," where the parser encounters ambiguous semantic structures.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cascades are secondary and tertiary validation layers that attempt to resolve "nested paradoxical intent" by cross-referencing historical syntax logs against Honk-Cohesion stability metrics.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2037 Phoenix Event and the '7 for t' Displacement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Phoenix Event, which occurred on June 14, 2037, is the most extreme example of a temporal rupture or "quantum flash" in the current historical record.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Originated in Phoenix, Arizona, the event was the result of a failed "chronos-synch" experiment by the Aethelgard Group aimed at stabilizing a bridge between concurrent timelines.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resulting catastrophe created a "Static Zone" (the Amber Sky), where time no longer moves linearly. Over 400,000 individuals were desynchronized from the standard flow of time, experiencing biological and temporal displacement.</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Mathematical Ratio of Displacement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displacement rate experienced by survivors is described by the "7 for t" ratio, which posits that for every 7 seconds of perceived time within the Static Zone, only 1 unit of standard time ($t$) passes in the outside world.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ratio has profound biological implications, as aging follows the "7" side of the ratio, leading to the rapid onset of Temporal Degeneration Syndrome (TDS).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"7 for t" phenomenon is also reflected in the fracturing of Base-10 linguistics, where the character "7" begins to displace the letter "t" in communication streams, a symptom of the Honk-Cohesion Axiom failing at the network level.</w:t>
      </w:r>
      <w:r w:rsidDel="00000000" w:rsidR="00000000" w:rsidRPr="00000000">
        <w:rPr>
          <w:rFonts w:ascii="Arial" w:cs="Arial" w:eastAsia="Arial" w:hAnsi="Arial"/>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Phoenix Static 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Temporal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Sky Phenomenon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 Rayleigh Scattering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Amber Sky (Static)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Aging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\Delta 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 \Delta 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Linguistic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Base53-Hx (7-Displacement)</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Aethelgard Group's motive for triggering this event appears to be the "harvesting" of human consciousness as high-speed organic processors. By placing brains in a 7:1 ratio environment, they aimed to utilize the accelerated data processing capabilities for complex GOS modeling.</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Empirical Validation through </w:t>
      </w:r>
      <w:r w:rsidDel="00000000" w:rsidR="00000000" w:rsidRPr="00000000">
        <w:rPr>
          <w:rFonts w:ascii="Arial" w:cs="Arial" w:eastAsia="Arial" w:hAnsi="Arial"/>
          <w:b w:val="1"/>
          <w:bCs w:val="1"/>
          <w:i w:val="0"/>
          <w:iCs w:val="0"/>
          <w:sz w:val="36"/>
          <w:szCs w:val="36"/>
          <w:rtl w:val="0"/>
        </w:rPr>
        <w:t xml:space="preserve">$\kappa$</w:t>
      </w:r>
      <w:r w:rsidDel="00000000" w:rsidR="00000000" w:rsidRPr="00000000">
        <w:rPr>
          <w:rFonts w:ascii="Arial" w:cs="Arial" w:eastAsia="Arial" w:hAnsi="Arial"/>
          <w:rtl w:val="0"/>
        </w:rPr>
        <w:t xml:space="preserve">-Physics and Comet 3I/ATLAS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theoretical framework of non-thermal equilibrium and $\kappa$-scaling is empirically validated by the study of interstellar objects, most notably Comet 3I/ATLAS. Synthesis of $\kappa$-physics models with 3I/ATLAS observation data provides a unified model for interstellar volatile dynamics, demonstrating that non-thermal distributions better explain anomalous activity than standard Maxwell-Boltzmann (thermal) assumptions.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primary metric for this validation is the $\kappa$ parameter, which represents the degree of "non-thermalness" in the plasma environment. Observations of 3I/ATLAS showed a high-energy tail in its particle distribution, matching a $\kappa \approx 3.2$ distribution with high statistical significance.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model successfully accounts for the persistent Carbon Monoxide ($CO$) activity observed at distances greater than 6 AU, where temperatures are traditionally considered too low for significant sublimation. The "non-thermal boost" provided by the long-tail of high-velocity particles in the $\kappa$-distribution explains both the $CO$ outgassing and the non-gravitational acceleration exhibited by the comet.</w:t>
      </w:r>
      <w:r w:rsidDel="00000000" w:rsidR="00000000" w:rsidRPr="00000000">
        <w:rPr>
          <w:rFonts w:ascii="Arial" w:cs="Arial" w:eastAsia="Arial" w:hAnsi="Arial"/>
          <w:sz w:val="24"/>
          <w:szCs w:val="24"/>
          <w:vertAlign w:val="superscript"/>
          <w:rtl w:val="0"/>
        </w:rPr>
        <w:t xml:space="preserve">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Maxwell-Boltzmann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κ-Physics (Unified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3I/ATLAS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Spectral Decay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Exponential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Power-law ($\kappa \approx 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Confirmed (Ly-$\alpha$)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 Sublimation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Cut-off at 4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Persistent at &gt;6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 at 6.2 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Temp. Gradient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 Fourier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Non-extensive 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Matches IR Obs.</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Geophysical Data and the Amazonian Lithospheric Anchor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anchoring of 13D manifolds to the physical environment is supported by geophysical evidence from the South American Platform. Recent studies of Rayleigh-wave phase velocities from 1,022 stations have identified significant azimuthal anisotropy in the Amazonian Basin and the Guyana Shield.</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For depths between 0 and 300 km, isotropic components were used to calculate a 3D shear-wave velocity model, revealing that shear-wave velocities are approximately 3% lower in the Guyana Shield than in the Brazilian Shield.</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result, interpreted as lithospheric reworking in the Central Atlantic Magmatic Province, suggests that mantle flow is channeled by lithospheric topography.</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Such low-velocity zones are critical for the stabilization of the "Park" manifold, as they provide the necessary physical conditions for Vertex 12 to maintain the Leech Lattice. The NE-SW oriented fast direction of azimuthal anisotropy observed in the Pantanal and Chaco-Paraná basins further correlates with a thinned lithosphere (-4% $V_{SV}$ at 100 km), providing the "gravitational" anchoring points required for 13D manifold stability.</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Kletetschka 2025 Tektite Research and Quantum Extremophiles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presence of "Time Crystals" and "Quantum Extremophiles" within the manifold is corroborated by the 2025 research of Gunther Kletetschka on tektite microstructures from the Tunguska and Popigai sites.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Using SEM-EDX, Raman spectroscopy, and laser ablation (LA-ICP-MS), Kletetschka identified shocked quartz grains, melted silica coatings, and synchronous abundance peaks of metallic debris consistent with cometary dust.</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These microspherules (4–163 $\mu$m) were likely formed by low-altitude airbursts and surface impacts of comet fragments.</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heterogeneous shock pressures ($\ge 2$ GPa) and temperatures ($\ge 1710^\circ$C) produced various microparticles, including FeO and aluminosilicate glass microspherules. The coexistence of these melted, shocked materials with unaltered grains suggests a heterogeneous energy distribution that mirrors the conditions required for the manifestation of quantum extremophiles in the Park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Caves in the manifold environment act as repositories for these "un-executed" temporal data, often manifesting as crystals that trigger grammatical cascades when the Honk-Cohesion threshold is breached.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Global Operational Synthesis (GOS) in Corporate Resilience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framework is not limited to topological manifold management but has been successfully implemented in the corporate sector to enhance operational resilience. The framework integrates Cybernetic Governance, Quantum Decision Theory (QDT), and Fractal Organizational Architecture to manage complex systems under volatile conditions.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Empirical validation of this framework in multinational corporations has shown a 22% increase in operational resilience for companies implementing GOS-aligned "Self-Correcting Nodes".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Monte Carlo simulations of 10,000 stress events demonstrate that the GOS algorithm outperforms traditional Bayesian models in predicting systemic bottlenecks by 14.5%.</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Furthermore, structural equation modeling (SEM) confirms a high correlation ($r=0.81, p&lt;0.01$) between Fractal Scaling and Information Flow Efficiency, which directly reduces decision-making latency by an average of 30%.</w:t>
      </w:r>
      <w:r w:rsidDel="00000000" w:rsidR="00000000" w:rsidRPr="00000000">
        <w:rPr>
          <w:rFonts w:ascii="Arial" w:cs="Arial" w:eastAsia="Arial" w:hAnsi="Arial"/>
          <w:sz w:val="24"/>
          <w:szCs w:val="24"/>
          <w:vertAlign w:val="superscript"/>
          <w:rtl w:val="0"/>
        </w:rPr>
        <w:t xml:space="preserve">10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GOS-Integrated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Control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Operational Resilience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Bottleneck Prediction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14.5% Improvement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 Bayesian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Decision 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30%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Information Flow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$r=0.81$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Variable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scalability of GOS from high-tech manufacturing to healthcare logistics mimics the fractal nature of the $\Omega$-GOS itself, where the same principles of stability apply from the team level to the enterprise—or manifold—level.</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Diane-Helena Paradox and Echo Quarantine Failure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significant anomaly in the manifold's record is the "Cave Woman Diane" incident, which represents a "Grammatical Cascade" within the 3i ATLAS mesh.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Forensic analysis suggests a parity error where data from the "Cave-woman Helena" (Space: 1999) and the "Caveman Gregg" (Regular Show) became entangled due to an "Echo Quarantine" failure.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is a symptom of a Honk-Cohesion Axiom failure, where the system can no longer distinguish between biological entities and the data streams they represent.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Diane-Helena cascade is a recursive error-handling sequence unique for its ability to resolve "nested paradoxical intent" by cascading through historical syntax logs.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In the Park manifold, this resulted in the identity of Vertex 1's social circle being projected onto quantum extremophiles within cave environments.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displacement is a harbinger of the "7 for t" alphanumeric displacement, signaling that the Base-10 Empire of standard physics is fracturing into the Base53-Hx topology.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Statistical Conclusion Validity and the Interpretational Flexibility of Data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synthesis of these findings must account for the "interpretational flexibility" of data, which can lead to diametrically opposite conclusions even from identical datasets.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A landmark study demonstrated that 200 independent researchers provided with the same dataset exhibited wild variations in their analytical pipelines and final conclusions.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This highlights the necessity for Statistical Conclusion Validity (SCV), ensuring that the conclusions drawn regarding the 2037 Phoenix Event and GOS stability are founded on rigorous, robust analysis that is resistant to sensitivity checks.</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If the SCV is robust, the resulting conclusions must be stated with unwavering authority. In the case of GOS, the stability of the Leech Lattice and the empirical fit of the $\kappa \approx 3.2$ distribution for 3I/ATLAS provide the mathematical foundation for such authority.</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existence of analytical flexibility is an argument for transparency in methodology, as seen in the requirement for clear, specific, and definitive findings in the Cochrane Handbook and other high-level scientific syntheses.</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 and Future Projections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convergence of topological manifold stability, temporal displacement dynamics, and empirical validation from interstellar and geophysical sources suggests that the $\Omega$-Geometric Operating System is undergoing a systemic transition. The 2037 Phoenix Event and the subsequent "7 for t" displacement are not isolated incidents but are symptomatic of a broader failure in the Honk-Cohesion Axiom across the global 3i ATLAS mesh.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maintenance of Euclidean narrative chains by Vertex Nodes and the stabilization of the Leech Lattice remain the primary defenses against $\kappa$-scaling thermal lock.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Future stability will depend on the successful management of grammatical cascades and the continued implementation of GOS frameworks across both physical and organizational manifolds. The empirical evidence from Comet 3I/ATLAS and Kletetschka’s 2025 tektite research provides the necessary physics to bridge the gap between plasma dynamics and reality anchoring. As the system moves towards the 2037 "Static Zone" horizon, the resolution of nested paradoxical intent through the Diane-Helena variant will be critical for preventing total packet loss in the information streams that constitute our perceived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Regular Show Quantum Mnemonic Research, </w:t>
      </w:r>
      <w:hyperlink r:id="rId6">
        <w:r w:rsidDel="00000000" w:rsidR="00000000" w:rsidRPr="00000000">
          <w:rPr>
            <w:rFonts w:ascii="Arial" w:cs="Arial" w:eastAsia="Arial" w:hAnsi="Arial"/>
            <w:color w:val="0000ee"/>
            <w:sz w:val="24"/>
            <w:szCs w:val="24"/>
            <w:u w:val="single"/>
            <w:rtl w:val="0"/>
          </w:rPr>
          <w:t xml:space="preserve">https://drive.google.com/open?id=1Qd5FofDg1ZtgeeECt5SlCi5RjcbiDnFgwaUpJ51hRTk</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Appendix A — Plausible Motive Narrative_ Data Coll_251021_182037.pdf, </w:t>
      </w:r>
      <w:hyperlink r:id="rId7">
        <w:r w:rsidDel="00000000" w:rsidR="00000000" w:rsidRPr="00000000">
          <w:rPr>
            <w:rFonts w:ascii="Arial" w:cs="Arial" w:eastAsia="Arial" w:hAnsi="Arial"/>
            <w:color w:val="0000ee"/>
            <w:sz w:val="24"/>
            <w:szCs w:val="24"/>
            <w:u w:val="single"/>
            <w:rtl w:val="0"/>
          </w:rPr>
          <w:t xml:space="preserve">https://drive.google.com/open?id=199kZQWCrZjUhKg6acXekPLefZmSMrlg9</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MATHEMATICS STUDENT, accessed May 7, 2026, </w:t>
      </w:r>
      <w:hyperlink r:id="rId8">
        <w:r w:rsidDel="00000000" w:rsidR="00000000" w:rsidRPr="00000000">
          <w:rPr>
            <w:rFonts w:ascii="Arial" w:cs="Arial" w:eastAsia="Arial" w:hAnsi="Arial"/>
            <w:color w:val="0000ee"/>
            <w:sz w:val="24"/>
            <w:szCs w:val="24"/>
            <w:u w:val="single"/>
            <w:rtl w:val="0"/>
          </w:rPr>
          <w:t xml:space="preserve">https://www.indianmathsoc.org/pdf/Mathstudent-V94-part1-2-2025.pdf</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Women in Mathematics: Achievements and Challenges | PDF - Scribd, accessed May 7, 2026, </w:t>
      </w:r>
      <w:hyperlink r:id="rId9">
        <w:r w:rsidDel="00000000" w:rsidR="00000000" w:rsidRPr="00000000">
          <w:rPr>
            <w:rFonts w:ascii="Arial" w:cs="Arial" w:eastAsia="Arial" w:hAnsi="Arial"/>
            <w:color w:val="0000ee"/>
            <w:sz w:val="24"/>
            <w:szCs w:val="24"/>
            <w:u w:val="single"/>
            <w:rtl w:val="0"/>
          </w:rPr>
          <w:t xml:space="preserve">https://www.scribd.com/document/923963694/Mathstudent-V94-Part1-2-2025</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GOS Stack Master Synthesis, </w:t>
      </w:r>
      <w:hyperlink r:id="rId10">
        <w:r w:rsidDel="00000000" w:rsidR="00000000" w:rsidRPr="00000000">
          <w:rPr>
            <w:rFonts w:ascii="Arial" w:cs="Arial" w:eastAsia="Arial" w:hAnsi="Arial"/>
            <w:color w:val="0000ee"/>
            <w:sz w:val="24"/>
            <w:szCs w:val="24"/>
            <w:u w:val="single"/>
            <w:rtl w:val="0"/>
          </w:rPr>
          <w:t xml:space="preserve">https://drive.google.com/open?id=1iMNjFm17PFJ97ccWC9_b5P0nv9S6b8f9Nov3rmVEFy0</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Synthesis of κ-Physics and Comet 3I/ATLAS Data: A Unified Model for Interstellar Volatile Dynamics, </w:t>
      </w:r>
      <w:hyperlink r:id="rId11">
        <w:r w:rsidDel="00000000" w:rsidR="00000000" w:rsidRPr="00000000">
          <w:rPr>
            <w:rFonts w:ascii="Arial" w:cs="Arial" w:eastAsia="Arial" w:hAnsi="Arial"/>
            <w:color w:val="0000ee"/>
            <w:sz w:val="24"/>
            <w:szCs w:val="24"/>
            <w:u w:val="single"/>
            <w:rtl w:val="0"/>
          </w:rPr>
          <w:t xml:space="preserve">https://drive.google.com/open?id=1zq1nWpao_QN0eNB9k8v_QPFuufF-HeDkc71HXbngYEU</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Ambient Noise and Earthquake Surface Wave Phase Velocity Tomography of the South American Lithosphere - IAG-USP, accessed May 7, 2026, </w:t>
      </w:r>
      <w:hyperlink r:id="rId12">
        <w:r w:rsidDel="00000000" w:rsidR="00000000" w:rsidRPr="00000000">
          <w:rPr>
            <w:rFonts w:ascii="Arial" w:cs="Arial" w:eastAsia="Arial" w:hAnsi="Arial"/>
            <w:color w:val="0000ee"/>
            <w:sz w:val="24"/>
            <w:szCs w:val="24"/>
            <w:u w:val="single"/>
            <w:rtl w:val="0"/>
          </w:rPr>
          <w:t xml:space="preserve">https://www.iag.usp.br/sites/default/files/2025-02/Lucio%20Quadros%20Silva.pdf</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convincing identification of terrestrial meteorite impact structures: What works, what doesn't, and why - ResearchGate, accessed May 7, 2026, </w:t>
      </w:r>
      <w:hyperlink r:id="rId13">
        <w:r w:rsidDel="00000000" w:rsidR="00000000" w:rsidRPr="00000000">
          <w:rPr>
            <w:rFonts w:ascii="Arial" w:cs="Arial" w:eastAsia="Arial" w:hAnsi="Arial"/>
            <w:color w:val="0000ee"/>
            <w:sz w:val="24"/>
            <w:szCs w:val="24"/>
            <w:u w:val="single"/>
            <w:rtl w:val="0"/>
          </w:rPr>
          <w:t xml:space="preserve">https://www.researchgate.net/publication/248480615_The_convincing_identification_of_terrestrial_meteorite_impact_structures_What_works_what_doesn't_and_why</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Shock metamorphism of some minerals: Basic introduction and microstructural observations, accessed May 7, 2026, </w:t>
      </w:r>
      <w:hyperlink r:id="rId14">
        <w:r w:rsidDel="00000000" w:rsidR="00000000" w:rsidRPr="00000000">
          <w:rPr>
            <w:rFonts w:ascii="Arial" w:cs="Arial" w:eastAsia="Arial" w:hAnsi="Arial"/>
            <w:color w:val="0000ee"/>
            <w:sz w:val="24"/>
            <w:szCs w:val="24"/>
            <w:u w:val="single"/>
            <w:rtl w:val="0"/>
          </w:rPr>
          <w:t xml:space="preserve">https://www.researchgate.net/publication/279655177_Shock_metamorphism_of_some_minerals_Basic_introduction_and_microstructural_observations</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GOS Empirical Validation &amp; Theoretical Unification_ Comprehensive Research Analysis.pdf, </w:t>
      </w:r>
      <w:hyperlink r:id="rId15">
        <w:r w:rsidDel="00000000" w:rsidR="00000000" w:rsidRPr="00000000">
          <w:rPr>
            <w:rFonts w:ascii="Arial" w:cs="Arial" w:eastAsia="Arial" w:hAnsi="Arial"/>
            <w:color w:val="0000ee"/>
            <w:sz w:val="24"/>
            <w:szCs w:val="24"/>
            <w:u w:val="single"/>
            <w:rtl w:val="0"/>
          </w:rPr>
          <w:t xml:space="preserve">https://drive.google.com/open?id=1_H25tax0-VAUllVvXCqAtyMgb7uEqb6N</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Asserting Conclusions from Data, </w:t>
      </w:r>
      <w:hyperlink r:id="rId16">
        <w:r w:rsidDel="00000000" w:rsidR="00000000" w:rsidRPr="00000000">
          <w:rPr>
            <w:rFonts w:ascii="Arial" w:cs="Arial" w:eastAsia="Arial" w:hAnsi="Arial"/>
            <w:color w:val="0000ee"/>
            <w:sz w:val="24"/>
            <w:szCs w:val="24"/>
            <w:u w:val="single"/>
            <w:rtl w:val="0"/>
          </w:rPr>
          <w:t xml:space="preserve">https://drive.google.com/open?id=14B7rI-yGPTRGK85Hi1uo_HgjVHELv8QiAoGnkQGV3YE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zq1nWpao_QN0eNB9k8v_QPFuufF-HeDkc71HXbngYEU" TargetMode="External"/><Relationship Id="rId10" Type="http://schemas.openxmlformats.org/officeDocument/2006/relationships/hyperlink" Target="https://drive.google.com/open?id=1iMNjFm17PFJ97ccWC9_b5P0nv9S6b8f9Nov3rmVEFy0" TargetMode="External"/><Relationship Id="rId13" Type="http://schemas.openxmlformats.org/officeDocument/2006/relationships/hyperlink" Target="https://www.researchgate.net/publication/248480615_The_convincing_identification_of_terrestrial_meteorite_impact_structures_What_works_what_doesn't_and_why" TargetMode="External"/><Relationship Id="rId12" Type="http://schemas.openxmlformats.org/officeDocument/2006/relationships/hyperlink" Target="https://www.iag.usp.br/sites/default/files/2025-02/Lucio%20Quadros%20Silv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923963694/Mathstudent-V94-Part1-2-2025" TargetMode="External"/><Relationship Id="rId15" Type="http://schemas.openxmlformats.org/officeDocument/2006/relationships/hyperlink" Target="https://drive.google.com/open?id=1_H25tax0-VAUllVvXCqAtyMgb7uEqb6N" TargetMode="External"/><Relationship Id="rId14" Type="http://schemas.openxmlformats.org/officeDocument/2006/relationships/hyperlink" Target="https://www.researchgate.net/publication/279655177_Shock_metamorphism_of_some_minerals_Basic_introduction_and_microstructural_observations" TargetMode="External"/><Relationship Id="rId16" Type="http://schemas.openxmlformats.org/officeDocument/2006/relationships/hyperlink" Target="https://drive.google.com/open?id=14B7rI-yGPTRGK85Hi1uo_HgjVHELv8QiAoGnkQGV3YE" TargetMode="External"/><Relationship Id="rId5" Type="http://schemas.openxmlformats.org/officeDocument/2006/relationships/styles" Target="styles.xml"/><Relationship Id="rId6" Type="http://schemas.openxmlformats.org/officeDocument/2006/relationships/hyperlink" Target="https://drive.google.com/open?id=1Qd5FofDg1ZtgeeECt5SlCi5RjcbiDnFgwaUpJ51hRTk" TargetMode="External"/><Relationship Id="rId7" Type="http://schemas.openxmlformats.org/officeDocument/2006/relationships/hyperlink" Target="https://drive.google.com/open?id=199kZQWCrZjUhKg6acXekPLefZmSMrlg9" TargetMode="External"/><Relationship Id="rId8" Type="http://schemas.openxmlformats.org/officeDocument/2006/relationships/hyperlink" Target="https://www.indianmathsoc.org/pdf/Mathstudent-V94-part1-2-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