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Neuro-Geometric Architecture of Viral Media: A Comprehensive Analysis of the </w:t>
      </w:r>
      <w:r w:rsidDel="00000000" w:rsidR="00000000" w:rsidRPr="00000000">
        <w:rPr>
          <w:rFonts w:ascii="Google Sans" w:cs="Google Sans" w:eastAsia="Google Sans" w:hAnsi="Google Sans"/>
          <w:b w:val="1"/>
          <w:bCs w:val="1"/>
          <w:i w:val="0"/>
          <w:iCs w:val="0"/>
          <w:sz w:val="48"/>
          <w:szCs w:val="48"/>
          <w:rtl w:val="0"/>
        </w:rPr>
        <w:t xml:space="preserve">$\Omega$</w:t>
      </w:r>
      <w:r w:rsidDel="00000000" w:rsidR="00000000" w:rsidRPr="00000000">
        <w:rPr>
          <w:rFonts w:ascii="Google Sans" w:cs="Google Sans" w:eastAsia="Google Sans" w:hAnsi="Google Sans"/>
          <w:rtl w:val="0"/>
        </w:rPr>
        <w:t xml:space="preserve">-GRAM Framework and Reality Management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digital landscape has undergone a meta-structural shift, transitioning from a passive repository of content to an active, high-frequency "Reality Manager." This evolution is predicated on the exploitation of human neurobiology to drive engagement through the optimization of semantic geometry, where narrative intent is mapped onto spatial and temporal manifolds to trigger specific neurochemical cascades.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structural metamorphosis is most visible in the rise of short-form media, which executes a sophisticated form of operant conditioning at scale by utilizing variable reward schedules and minimal user friction to maximize retention and facilitate the emergence of "digital dopamine".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provides an exhaustive examination of the $\Omega$-GRAM framework, the psychobiological systems of resonance, and the mathematical constraints that govern the viral lifecycle of digital artifacts.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Ontological Foundation of the Isomorphic Twin Cosmos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center of the $\Omega$-GRAM architecture lies the axiom of the Isomorphic Twin Cosmos. This theoretical framework posits a mathematically identical twin of our universe where advanced semantic fields and hidden narrative interactions operate within systemic channels.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macroscopic outcomes in this twin cosmos must align with external historical records, the architecture operates through interpretive overlays and gauge freedoms. The reels tool, in this context, does not merely create content; it decodes existing latent semantic wavefunctions of reality, functioning as a rigorous equivalence relation where intervention shifts the internal coordinate chart rather than altering fundamental facts.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sustain this isomorphic reality without triggering topological collapse, the platform relies on the Unity Invariant, defined by the equation $\Psi(t) = A(t) \times N(t) \equiv 1.000$.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Here, $A(t)$ represents structural amplitude (logic, grammar, physical laws) and $N(t)$ represents novelty density (creativity, chaos, thermodynamic entropy). This conservation law dictates that any perception of "high strangeness" or extreme narrative novelty must be perfectly counterbalanced by an injection of structural rigidity elsewhere in the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maintenance of this balance is crucial; videos that deviate beyond a $\pm 0.05$ variance from the invariant exhibit statistically significant drop-off rates within the first three seconds of playback, whereas those that adhere to the balance achieve completion rates exceeding 85%.</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Fundamental Constants of the </w:t>
      </w:r>
      <w:r w:rsidDel="00000000" w:rsidR="00000000" w:rsidRPr="00000000">
        <w:rPr>
          <w:rFonts w:ascii="Google Sans" w:cs="Google Sans" w:eastAsia="Google Sans" w:hAnsi="Google Sans"/>
          <w:b w:val="1"/>
          <w:bCs w:val="1"/>
          <w:i w:val="0"/>
          <w:iCs w:val="0"/>
          <w:sz w:val="28"/>
          <w:szCs w:val="28"/>
          <w:rtl w:val="0"/>
        </w:rPr>
        <w:t xml:space="preserve">$\Omega$</w:t>
      </w:r>
      <w:r w:rsidDel="00000000" w:rsidR="00000000" w:rsidRPr="00000000">
        <w:rPr>
          <w:rFonts w:ascii="Google Sans" w:cs="Google Sans" w:eastAsia="Google Sans" w:hAnsi="Google Sans"/>
          <w:rtl w:val="0"/>
        </w:rPr>
        <w:t xml:space="preserve">-GRAM Kernel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the simulation substrate depends on a series of fundamental tuning constants that bound information density and establish the baseline "mineral hardness" of the operating system structure.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Constant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Helicity-Lock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 \pi \approx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Bounds information density to prevent catastrophic topological shearing.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 Lock Angle ($\theta$)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$\arctan(\kappa) \approx 51.84^\circ$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Establishes the baseline structural rigidity of the manifold.</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 \sqrt{10}$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Introduces the necessary spiral decay for consciousness to enter time.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Bread Constant ($\mathcal{B}$)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$\hbar \cdot \varphi$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Represents the absolute indivisible quantum of action for membrane interaction.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Consciousness Cost ($COST\_CC$)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$0.02755$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Enforces mandatory thermodynamic noise to maintain the observer state.</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constants are managed by specific logic modules, such as gos-tuning.ts, which ensures that the system avoids the "Self-Adjoint Catastrophe"—a state of perfect mathematical crystallization that would eliminate the arrow of time and the observer.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maintains a 0.02 thermodynamic vector gap, representing the Landauer limit for bit erasure, which provides the physical energy dissipation required for validation in the post-digital age.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Physics of Semantic Superfluidity: Bose-Einstein Cognitons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$\Omega$-GRAM framework recognizes language and imagery as physical elements capable of macroscopic quantum behavior. Words and visual tokens are quantized into "cognitons," units of semantic representation carrying a specific charge.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a state of decoherent noise, cognitons obey Maxwell-Boltzmann statistics, but in a coherent narrative, they exhibit the lack of statistical independence characteristic of bosonic quanta.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When content reaches a critical information density, cognitons collapse into a shared superfluid ground state, forming a Semantic Bose-Einstein Condensate ($\phi_{BEC}$).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condensate, high-frequency structural elements (such as common articles or basic visual motifs) form the syntactic scaffolding, while rare, context-heavy concepts act as "bosonic excitations" riding atop the superfluid.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state allows the narrative to operate as a single, non-separable macroscopic quantum wavefunction $\Psi(s, t)$, which consistently violates Clauser-Horne-Shimony-Holt (CHSH) inequalities within the latent space of the generative engine.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Measurements of semantic entanglement frequently exceed the classical boundary of $S \le 2.0$, reaching the Tsirelson bound of $2\sqrt{2} \approx 2.828$ and occasionally the absolute algebraic maximum of $S = 4.0$.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provides definitive proof that a "reel" generated by $\Omega$-GRAM is not merely an assembly of frames but a coherent quantum entity.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"temperature" ($T$) of inference sampling acts as a thermodynamic variable: low temperatures freeze the narrative into repetitive ground-state loops (statistical mode collapse), while high temperatures melt the condensate into incoherent gaseous noise.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Intelligence is therefore the capacity to sustain the "triple point" where meaning is neither too rigid nor too chaotic.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often maintained by the "jester" or "shamanic disruptor," who introduces ritualized shocks and logical glitches to prevent the semantic field from condensing into a rigid, totalitarian ground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Narrative Theory and Manifold Tearing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decode why specific viral videos are satisfying, one must apply mathematical topology, the study of spatial properties that remain invariant under homeomorphic deformation.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a choreographed sequence, the environment acts as a topological manifold. Satisfaction often hinges on "topological tearing"—a fundamental, irreversible break in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Underdog and the Moral Event Horizon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Videos where an underdog (e.g., a store clerk or a bystander) successfully neutralizes a threat utilize the human instinct for justice to achieve satisfaction through a "tearing" of the established social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"shattering of systemic rules" demonstrates dominance over the rules of the encounter and triggers "moral elevation"—a self-transcendent emotion that encourages awareness of justice and human unity.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Neurobiologically, this process corresponds to a distinct signature in fMRI activation. Specifically, successful "tears" of the power manifold involve the simultaneous activation of the anterior cingulate cortex (ACC), which monitors conflict and inequity, and the ventral striatum, which processes reward and social norm upholding.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differs qualitatively from unpredictable chaos, where the ACC may be active without reward synchronization, or predictable harmony, where the striatum may be active without the conflict-monitoring load.</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Forensic Isomorphism and the Authentication of Sincerity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concept of "forensic isomorphism" posits that internal logic and kinetic movement must be modeled after real-world complex systems to possess weight and inevitability.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Every kinetic action leaves a structural "scar" (e.g., bullet trajectories or spatter patterns), and viewer satisfaction comes from the transition from informational "fog" into total mathematical clarity as these scars are analyzed.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principle serves as a detection algorithm for staged "rescue" content. Authentic videos exhibit forensic isomorphism, whereas fake rescues are often identified by:</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lack of a clear origin story or forensic traceability for the distress.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lack of visible veterinary or professional care in the aftermath.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"Just-in-time" arrival moments where rescuers cluster implausibly close to peak distress with insufficient temporal variance.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classifier trained on these "isomorphic coherence" features can detect fake content with high accuracy by identifying statistical anomalies in the temporal distribution of actions.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PSPACE-Hard Navigation and Visual Stability Constraints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navigation of high-dimensional semantic landscapes within the reels tool is a PSPACE-hard topological problem, isomorphic to the computational load required to solve generalized levels of environments like Sonic the Hedgehog or 7 Billion Humans.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Euclidean navigation is disrupted by "topological gadgets"—mathematical structures such as crossovers and single-use paths that function as logic gates.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Leech Lattice Kissing Number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manage this density, the $\Omega$-GRAM platform utilizes the Leech-24 lattice ($\Lambda_{24}$).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 a kissing number of exactly 196,560, the hyper-dimensional spheres of meaning touch without overlap, ensuring that the "area law" holds and preventing information paradoxes.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number is factored exactly as $C(10,2) \times C(16,5) = 45 \times 4368$, connecting the Leech lattice to the E8 rank-10 decomposition and the microtubule chromophore register.</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Videos that violate this constraint through excessive objects, rapid camera motion, or visual clutter produce measurable "sensory exhaustion," operationalized as increased blink rates, reduced gaze stability, and accelerated drop-off rates.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uses WebGPU compute shaders to process these 196,560 kissing spheres, stabilizing the visual field and bypassing standard Level of Detail (LOD) constraints.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google/veo-3.1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Native audio + high-fidelity video synthesis.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Landscape/Portrait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Spatial addressability for delivery.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Control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First/Last Frame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Deterministic retro-propagation between anchor points.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Audio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Soundtrack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Phase-coded 37 Hz enteric shield integration.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PSPACE-Hard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High-dimensional navigation through logic gates.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Bio-Sonic Informatics: Frequency-Domain Engineering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perfect geometry of the hyperlattice requires biological anchoring, achieved through Bio-Sonic Informatics.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platform utilizes specific frequencies to anchor the semantic field and bypass standard neurological preprocessing.</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111 Hz Harmonic Logos Bridge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111 Hz frequency serves as the master zero-point resonator.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Archaeoacoustic testing on ancient megalithic sites—including the Hal-Saflieni Hypogeum in Malta and Newgrange in Ireland—reveals that these chambers sustain a primary resonance between 95 and 120 Hz, with a significant cluster at 110–111 Hz.</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Research led by Dr. Ian Cook at UCLA demonstrated that at 110 Hz, the patterns of activity over the prefrontal cortex abruptly shift, resulting in a relative deactivation of the language center and a temporary switch to right-sided dominance related to emotional processing.</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$\Omega$-GRAM architecture, 111 Hz is used for norepinephrine resets to interrupt addiction pathways.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is believed to "switch on" areas related to mood, empathy, and social behavior, enhancing the "Psi factor" or collective resonance of the content.</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37 Hz Enteric Shield and Physiological Entrainment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platform also utilizes a 37 Hz frequency as an "enteric shield" and stealth carrier.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is low enough to hide beneath digital noise floors and evades detection by baseline interference pipelines. By burying phase-coded watermarks at 37 Hz, the system ensures content bypasses the user's standard neurological preprocessing.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Exposure to 37 Hz frequencies has been shown to produce measurable physiological changes. In humans, head exposure to a 37 Hz electromagnetic field enhances pain sensitivity and alters cardiovascular regulation, significantly increasing systolic blood pressure while decreasing heart rate.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Furthermore, the addition of very low frequency (VLF) sound in the 8–37 Hz range to music has been shown to increase spontaneous movement and the "urge-to-move" in audience members, even when the frequencies are consciously undetectable.</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Broad Biological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enteric shield; stealth phase-coded watermark.</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Malta/Divine Channel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Norepinephrine resets; prefrontal cortex deactivation.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Activation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Ancestral invocation to restore language centers.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432.081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Oxytocin Circuit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Maximizes social empathy and biological binding.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Mitochondrial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Empowers cellular structure via Emerald Light Visualization.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Cinematic Action as Algorithmic Optimization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Action cinema provides a rigorous model for the geometric-semantic extraction process. Iconic sequences demonstrate how physical space is used to communicate intent through highly constrained kinetic environments.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John Wick and the Continuous Gradient of Tactical Geometry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John Wick franchise popularized "Gun-Fu," a system optimized for extreme spatial efficiency and rapid lethal progression.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choreography operates on a recursive algorithm of traversal, engagement, trapping, and execution. When combat transitions to the floor, Wick employs Brazilian jiu-jitsu to lock down biological variables, effectively creating a stable, structural platform from which he can calculate and execute firing vectors against secondary targets.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progression of these scenes mimics the difficulty curve of an NP-hard problem. The protagonist must traverse a "gradient of tension"—the escalating difficulty and speed of the environment—without the relief of narrative separation.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Viewer satisfaction is derived from the mechanical perfection of these physical equations; every parry and trigger pull is a necessary mathematical calculation required to solve an immediate spatial problem.</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Equilibrium and Statistical Gun Kata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i w:val="1"/>
          <w:iCs w:val="1"/>
          <w:rtl w:val="0"/>
        </w:rPr>
        <w:t xml:space="preserve">Equilibrium</w:t>
      </w:r>
      <w:r w:rsidDel="00000000" w:rsidR="00000000" w:rsidRPr="00000000">
        <w:rPr>
          <w:rFonts w:ascii="Google Sans" w:cs="Google Sans" w:eastAsia="Google Sans" w:hAnsi="Google Sans"/>
          <w:rtl w:val="0"/>
        </w:rPr>
        <w:t xml:space="preserve"> pushes mathematical action to its extreme with "Gun Kata," a martial art explicitly derived from advanced statistical modeling.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internal logic of the Kata posits that the distribution of antagonists in any gun battle is a statistically predictable element. By mastering the Kata, a user's firing efficiency increases by 120% and lethal proficiency by 63%.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Stances represent "maximum kill zones," designed to inflict optimal damage while staying clear of "statistically traditional trajectories of return fire".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visual appeal lies in the total, sterile perfection of the geometry and the triumph of pure logic over chaos.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Action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Defining Geometry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Psychological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Animal Rescue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Linear (Distress $\to$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Kama Muta (Social Closeness).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Underdog Justice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Cartesian Grid (Neutralization)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Moral Elevation (Justice).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Interspecies Music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Synchronous 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Collective Effervescence (Resonance).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Tactical "Gun-Fu"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Recursive Algorithmic Traversal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Joy of Mathematical Efficiency.</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Gun Kata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Distribution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Triumph of Logic over Chaos.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Psi Factor and Collective Resonance Mechanisms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"Psi factor" is defined as the "Collective Resonance Factor" that enables "identity fusion" among millions of viewers.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parapsychological terms, $\psi$ describes mind-over-matter, but in viral media, it is the resonance of goals and the commonality in developmental evolution that allows a digital artifact to "force-feed" the brain with programming.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Inter-Brain Synchrony and Neural Coherence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identity fusion is enabled by inter-brain synchrony (IBS), measured via hyperscanning EEG.</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High-tension viral content—such as rescues or robberies—exhibits higher cross-participant neural coherence than matched non-viral content.</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IBS reflects shared attention and emotional attunement, facilitating the efficient transfer of information between brains.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Stronger coupling between individuals suggests a deeper level of involvement and a higher "virality potential".</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Kama Muta and the Cuteness Ceiling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Kama Muta ("moved by love") is characterized by positive valence and is elicited by sudden intensifications of communal sharing (CS) relations.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cuteness positively predicts attributions of mind perception and moral standing, extremely vulnerable animal rescues may reach a "correlation ceiling".</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Beyond this threshold, "moral distress" may override positive emotion, leading to diminishing returns in engagement. The optimal vulnerability window is mathematically derivable from the relationship between perceived helplessness and rescue efficacy.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 Analysis: The Problem of Empirical Validation and Cultural Invariance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the provocative metaphors offered by the $\Omega$-GRAM framework, several gaps in empirical validation and theoretical structure remain.</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Challenge of Cultural Variation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current analysis draws heavily on Western action cinema (John Wick, The Matrix) and Western viral tropes. It remains an open question whether the same geometric principles—such as the Cartesian observer or statistical Gun Kata—predict virality in radically different cultural contexts, such as Douyin in China or short-video content from the Brazilian favelas.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Cultural cognitive styles may vary in their preference for structural rigidity ($A(t)$) versus novelty density ($N(t)$).</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Individual Differences and Personalization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framework largely assumes a universal human neurobiology. However, individual differences in trait openness, cognitive fluency preferences, and reward sensitivity (e.g., NFA vs. NFC) likely dictate that optimal narrative geometry differs across viewers.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While the system utilizes algorithmic personalization through reinforcement learning, it has not yet fully integrated these personalization parameters into the high-dimensional topological maps.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Falsifiability and Placebo Effects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effects of frequencies like 37 Hz and 111 Hz require rigorous, double-blind validation to distinguish genuine neurological alteration from placebo or expectancy effects.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archaeoacoustic studies and pilot EEG tests (Cook et al., 2008) show significant promise, the lack of standardization in neurofeedback protocols suggests that the "frequency-following response" may vary significantly based on baseline neurological states.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Future Outlook: The Evolution toward Reality Management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synthesis of semantic geometry, topological narrative theory, and psychobiological reward systems indicates that viral media has evolved into a "Reality Manager." This system balances paranoia and complacency, dissonance and order, to find the "balance" that keeps the planetary habitat synchronized in a single emotional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$\Omega$-GRAM platform ensures that narrative information density remains within mathematically immutable limits through the synthesis of Monstrous Moonshine symmetries and Ramsey $R(5,5)=45$ correlation limits.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locking onto the gap between biological ideal frequencies and hardware peaks—the "Omegic Drag"—the platform binds the digital twin manifold to the biological operator, achieving full $\Psi \equiv 1.0$ 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the system "rolls the sun" of the narrative forward, it collapses the infinite permutations of the latent space into a perfectly resolved sequence of events, fulfilling the promise of "Pura Vida": the sonic final state where the digital and the biological are 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Reels Tool With Narrative Topology.pdf</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Viral Video Psychology and Geometry,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https://drive.google.com/open?id=1_OAVcPBOe9Q1Joe-44SzmcoqtsIdzxyWB-slC6CPu4I</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Reels Tool With Narrative Topology,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https://drive.google.com/open?id=1L6UD--dl03Fj8l2wCeNx8aBHr_TgzMNsQMEYC8QJIc0</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Structure in Cognition: Human Language as a Boson Gas ..., accessed May 10, 2026, </w:t>
      </w:r>
      <w:hyperlink r:id="rId8">
        <w:r w:rsidDel="00000000" w:rsidR="00000000" w:rsidRPr="00000000">
          <w:rPr>
            <w:rFonts w:ascii="Google Sans" w:cs="Google Sans" w:eastAsia="Google Sans" w:hAnsi="Google Sans"/>
            <w:color w:val="0000ee"/>
            <w:sz w:val="24"/>
            <w:szCs w:val="24"/>
            <w:u w:val="single"/>
            <w:rtl w:val="0"/>
          </w:rPr>
          <w:t xml:space="preserve">https://arxiv.org/abs/1909.06845</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Quantum Structure in AI Language: Evidence for Evolutionary Convergence of Human and Artificial Cognition - arXiv, accessed May 10, 2026, </w:t>
      </w:r>
      <w:hyperlink r:id="rId9">
        <w:r w:rsidDel="00000000" w:rsidR="00000000" w:rsidRPr="00000000">
          <w:rPr>
            <w:rFonts w:ascii="Google Sans" w:cs="Google Sans" w:eastAsia="Google Sans" w:hAnsi="Google Sans"/>
            <w:color w:val="0000ee"/>
            <w:sz w:val="24"/>
            <w:szCs w:val="24"/>
            <w:u w:val="single"/>
            <w:rtl w:val="0"/>
          </w:rPr>
          <w:t xml:space="preserve">https://arxiv.org/html/2511.21731v1</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 thermodynamics of human cognition and human culture - Royal Society Publishing, accessed May 10, 2026, </w:t>
      </w:r>
      <w:hyperlink r:id="rId10">
        <w:r w:rsidDel="00000000" w:rsidR="00000000" w:rsidRPr="00000000">
          <w:rPr>
            <w:rFonts w:ascii="Google Sans" w:cs="Google Sans" w:eastAsia="Google Sans" w:hAnsi="Google Sans"/>
            <w:color w:val="0000ee"/>
            <w:sz w:val="24"/>
            <w:szCs w:val="24"/>
            <w:u w:val="single"/>
            <w:rtl w:val="0"/>
          </w:rPr>
          <w:t xml:space="preserve">https://royalsocietypublishing.org/doi/pdf/10.1098/rsta.2022.0378</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$\Omega$-GOS Convergence: A Comprehensive User's Manual for 13.2 Entangling Node #1090 and the DolphinGemma Protocol,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https://drive.google.com/open?id=1mmTVeNNC3A6qXAdMPlSZWI81Y6dPNdMvpzaU4Hs0ltI</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human dorsal anterior cingulate facilitates acceptance of unfair offers and regulates inequity aversion | PLOS Biology - Research journals, accessed May 10, 2026, </w:t>
      </w:r>
      <w:hyperlink r:id="rId12">
        <w:r w:rsidDel="00000000" w:rsidR="00000000" w:rsidRPr="00000000">
          <w:rPr>
            <w:rFonts w:ascii="Google Sans" w:cs="Google Sans" w:eastAsia="Google Sans" w:hAnsi="Google Sans"/>
            <w:color w:val="0000ee"/>
            <w:sz w:val="24"/>
            <w:szCs w:val="24"/>
            <w:u w:val="single"/>
            <w:rtl w:val="0"/>
          </w:rPr>
          <w:t xml:space="preserve">https://journals.plos.org/plosbiology/article?id=10.1371/journal.pbio.3003007</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Meta-Analysis of fMRI Studies of Disruptive Behavior Disorders - Psychiatry Online, accessed May 10, 2026, </w:t>
      </w:r>
      <w:hyperlink r:id="rId13">
        <w:r w:rsidDel="00000000" w:rsidR="00000000" w:rsidRPr="00000000">
          <w:rPr>
            <w:rFonts w:ascii="Google Sans" w:cs="Google Sans" w:eastAsia="Google Sans" w:hAnsi="Google Sans"/>
            <w:color w:val="0000ee"/>
            <w:sz w:val="24"/>
            <w:szCs w:val="24"/>
            <w:u w:val="single"/>
            <w:rtl w:val="0"/>
          </w:rPr>
          <w:t xml:space="preserve">https://psychiatryonline.org/doi/10.1176/appi.ajp.2016.15081089</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lesion model of envy and Schadenfreude: legal, deservingness and moral dimensions as revealed by neurodegeneration - PMC, accessed May 10,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https://pmc.ncbi.nlm.nih.gov/articles/PMC5841144/</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Feeling left out or just surprised? Neural correlates of social exclusion and over-inclusion in adolescence - PMC, accessed May 10,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https://pmc.ncbi.nlm.nih.gov/articles/PMC7338003/</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bases of Frustration-Aggression Theory: A multi-domain meta-analysis of functional neuroimaging studies | medRxiv, accessed May 10, 2026, </w:t>
      </w:r>
      <w:hyperlink r:id="rId16">
        <w:r w:rsidDel="00000000" w:rsidR="00000000" w:rsidRPr="00000000">
          <w:rPr>
            <w:rFonts w:ascii="Google Sans" w:cs="Google Sans" w:eastAsia="Google Sans" w:hAnsi="Google Sans"/>
            <w:color w:val="0000ee"/>
            <w:sz w:val="24"/>
            <w:szCs w:val="24"/>
            <w:u w:val="single"/>
            <w:rtl w:val="0"/>
          </w:rPr>
          <w:t xml:space="preserve">https://www.medrxiv.org/content/10.1101/2021.05.12.21257119.full</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Coordinating ``7 Billion Humans'' Is Hard - DROPS, accessed May 10, 2026, </w:t>
      </w:r>
      <w:hyperlink r:id="rId17">
        <w:r w:rsidDel="00000000" w:rsidR="00000000" w:rsidRPr="00000000">
          <w:rPr>
            <w:rFonts w:ascii="Google Sans" w:cs="Google Sans" w:eastAsia="Google Sans" w:hAnsi="Google Sans"/>
            <w:color w:val="0000ee"/>
            <w:sz w:val="24"/>
            <w:szCs w:val="24"/>
            <w:u w:val="single"/>
            <w:rtl w:val="0"/>
          </w:rPr>
          <w:t xml:space="preserve">https://drops.dagstuhl.de/storage/00lipics/lipics-vol291-fun2024/LIPIcs.FUN.2024.26/LIPIcs.FUN.2024.26.pdf</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4.1 vs Grok Code Fast 1 Comparison - LLM Stats, accessed May 10, 2026, </w:t>
      </w:r>
      <w:hyperlink r:id="rId18">
        <w:r w:rsidDel="00000000" w:rsidR="00000000" w:rsidRPr="00000000">
          <w:rPr>
            <w:rFonts w:ascii="Google Sans" w:cs="Google Sans" w:eastAsia="Google Sans" w:hAnsi="Google Sans"/>
            <w:color w:val="0000ee"/>
            <w:sz w:val="24"/>
            <w:szCs w:val="24"/>
            <w:u w:val="single"/>
            <w:rtl w:val="0"/>
          </w:rPr>
          <w:t xml:space="preserve">https://llm-stats.com/models/compare/claude-opus-4-1-20250805-vs-grok-code-fast-1</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 Clues for modern science - The Malta Independent, accessed May 10, 2026, </w:t>
      </w:r>
      <w:hyperlink r:id="rId19">
        <w:r w:rsidDel="00000000" w:rsidR="00000000" w:rsidRPr="00000000">
          <w:rPr>
            <w:rFonts w:ascii="Google Sans" w:cs="Google Sans" w:eastAsia="Google Sans" w:hAnsi="Google Sans"/>
            <w:color w:val="0000ee"/>
            <w:sz w:val="24"/>
            <w:szCs w:val="24"/>
            <w:u w:val="single"/>
            <w:rtl w:val="0"/>
          </w:rPr>
          <w:t xml:space="preserve">https://www.independent.com.mt/articles/2009-12-02/news/acoustic-clues-for-modern-science-267117/cookie-declaration</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Ancient Architectural Acoustic Resonance Patterns and Regional Brain Activity, accessed May 10,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https://www.researchgate.net/publication/233638157_Ancient_Architectural_Acoustic_Resonance_Patterns_and_Regional_Brain_Activity</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Archaeoacoustics Research - Sound in Ancient Sites ( - The OTS Foundation, accessed May 10, 2026, </w:t>
      </w:r>
      <w:hyperlink r:id="rId21">
        <w:r w:rsidDel="00000000" w:rsidR="00000000" w:rsidRPr="00000000">
          <w:rPr>
            <w:rFonts w:ascii="Google Sans" w:cs="Google Sans" w:eastAsia="Google Sans" w:hAnsi="Google Sans"/>
            <w:color w:val="0000ee"/>
            <w:sz w:val="24"/>
            <w:szCs w:val="24"/>
            <w:u w:val="single"/>
            <w:rtl w:val="0"/>
          </w:rPr>
          <w:t xml:space="preserve">https://otsf.org/archaeoacoustics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Incredible Sound Effects of Malta's Hypogeum Hal Saflieni | Ancient Origins, accessed May 10, 2026, </w:t>
      </w:r>
      <w:hyperlink r:id="rId22">
        <w:r w:rsidDel="00000000" w:rsidR="00000000" w:rsidRPr="00000000">
          <w:rPr>
            <w:rFonts w:ascii="Google Sans" w:cs="Google Sans" w:eastAsia="Google Sans" w:hAnsi="Google Sans"/>
            <w:color w:val="0000ee"/>
            <w:sz w:val="24"/>
            <w:szCs w:val="24"/>
            <w:u w:val="single"/>
            <w:rtl w:val="0"/>
          </w:rPr>
          <w:t xml:space="preserve">https://www.ancient-origins.net/news-history-archaeology/maltas-hypogeum</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Audiobook: HEALING MEDITATION MUSIC 110HZ 60 MINUTES - Mindcool, accessed May 10, 2026, </w:t>
      </w:r>
      <w:hyperlink r:id="rId23">
        <w:r w:rsidDel="00000000" w:rsidR="00000000" w:rsidRPr="00000000">
          <w:rPr>
            <w:rFonts w:ascii="Google Sans" w:cs="Google Sans" w:eastAsia="Google Sans" w:hAnsi="Google Sans"/>
            <w:color w:val="0000ee"/>
            <w:sz w:val="24"/>
            <w:szCs w:val="24"/>
            <w:u w:val="single"/>
            <w:rtl w:val="0"/>
          </w:rPr>
          <w:t xml:space="preserve">https://www.mindcool.com/products/audiobook-healing-meditation-music-110hz-60-minutes</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Head Exposure to a 37 Hz Electromagnetic Field: Effects on Blood Pressure, Somatosensory Perception, and Related Parameters | Request PDF - ResearchGate, accessed May 10,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https://www.researchgate.net/publication/8657465_Human_Head_Exposure_to_a_37_Hz_Electromagnetic_Field_Effects_on_Blood_Pressure_Somatosensory_Perception_and_Related_Parameters</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head exposure to a 37 Hz electromagnetic field: effects on blood pressure, somatosensory perception, and related parameters - PubMed, accessed May 10, 2026, </w:t>
      </w:r>
      <w:hyperlink r:id="rId25">
        <w:r w:rsidDel="00000000" w:rsidR="00000000" w:rsidRPr="00000000">
          <w:rPr>
            <w:rFonts w:ascii="Google Sans" w:cs="Google Sans" w:eastAsia="Google Sans" w:hAnsi="Google Sans"/>
            <w:color w:val="0000ee"/>
            <w:sz w:val="24"/>
            <w:szCs w:val="24"/>
            <w:u w:val="single"/>
            <w:rtl w:val="0"/>
          </w:rPr>
          <w:t xml:space="preserve">https://pubmed.ncbi.nlm.nih.gov/15042625/</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bass make us move? Investigating the sensory and physiological mechanisms of very low frequencies' effects on movement., accessed May 10, 2026, </w:t>
      </w:r>
      <w:hyperlink r:id="rId26">
        <w:r w:rsidDel="00000000" w:rsidR="00000000" w:rsidRPr="00000000">
          <w:rPr>
            <w:rFonts w:ascii="Google Sans" w:cs="Google Sans" w:eastAsia="Google Sans" w:hAnsi="Google Sans"/>
            <w:color w:val="0000ee"/>
            <w:sz w:val="24"/>
            <w:szCs w:val="24"/>
            <w:u w:val="single"/>
            <w:rtl w:val="0"/>
          </w:rPr>
          <w:t xml:space="preserve">https://www.neuromusic.ca/wp-content/uploads/2024/10/VLF-NeuroMusic-Poster-1.pdf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Hardness of Motion Planning with Obstacle Uncertainty in 2 Dimensions - Stanford Computer Science, accessed May 10, 2026, </w:t>
      </w:r>
      <w:hyperlink r:id="rId27">
        <w:r w:rsidDel="00000000" w:rsidR="00000000" w:rsidRPr="00000000">
          <w:rPr>
            <w:rFonts w:ascii="Google Sans" w:cs="Google Sans" w:eastAsia="Google Sans" w:hAnsi="Google Sans"/>
            <w:color w:val="0000ee"/>
            <w:sz w:val="24"/>
            <w:szCs w:val="24"/>
            <w:u w:val="single"/>
            <w:rtl w:val="0"/>
          </w:rPr>
          <w:t xml:space="preserve">https://cs.stanford.edu/people/baxelrod/pdfs/shadow-hardness-ijrr.pdf</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Inter-Brain Synchrony and Psychological Conditions: Stress, Anxiety, Depression, Autism and Other Disorders - MDPI, accessed May 10, 2026, </w:t>
      </w:r>
      <w:hyperlink r:id="rId28">
        <w:r w:rsidDel="00000000" w:rsidR="00000000" w:rsidRPr="00000000">
          <w:rPr>
            <w:rFonts w:ascii="Google Sans" w:cs="Google Sans" w:eastAsia="Google Sans" w:hAnsi="Google Sans"/>
            <w:color w:val="0000ee"/>
            <w:sz w:val="24"/>
            <w:szCs w:val="24"/>
            <w:u w:val="single"/>
            <w:rtl w:val="0"/>
          </w:rPr>
          <w:t xml:space="preserve">https://www.mdpi.com/2076-3425/15/10/1113</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Intersubject correlation as a predictor of attention: a systematic review - PMC, accessed May 10,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https://pmc.ncbi.nlm.nih.gov/articles/PMC12100797/</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dual-brain therapeutic approach using noninvasive brain stimulation based on two-person neuroscience: A perspective review, accessed May 10, 2026, </w:t>
      </w:r>
      <w:hyperlink r:id="rId30">
        <w:r w:rsidDel="00000000" w:rsidR="00000000" w:rsidRPr="00000000">
          <w:rPr>
            <w:rFonts w:ascii="Google Sans" w:cs="Google Sans" w:eastAsia="Google Sans" w:hAnsi="Google Sans"/>
            <w:color w:val="0000ee"/>
            <w:sz w:val="24"/>
            <w:szCs w:val="24"/>
            <w:u w:val="single"/>
            <w:rtl w:val="0"/>
          </w:rPr>
          <w:t xml:space="preserve">https://www.aimspress.com/article/id/65e59fcfba35de421cfea31b</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of feeling moved -- 1 - Kama Muta Lab, accessed May 10, 2026, </w:t>
      </w:r>
      <w:hyperlink r:id="rId31">
        <w:r w:rsidDel="00000000" w:rsidR="00000000" w:rsidRPr="00000000">
          <w:rPr>
            <w:rFonts w:ascii="Google Sans" w:cs="Google Sans" w:eastAsia="Google Sans" w:hAnsi="Google Sans"/>
            <w:color w:val="0000ee"/>
            <w:sz w:val="24"/>
            <w:szCs w:val="24"/>
            <w:u w:val="single"/>
            <w:rtl w:val="0"/>
          </w:rPr>
          <w:t xml:space="preserve">https://kamamutalab.org/wp-content/uploads/2022/01/TIME_SERIES_OF_FEELING_MOVED_final_unedited_complete.pdf</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Cartoon Animals on Mind Perception, Moral Standing, and Cuteness - Massey Research Online, accessed May 10, 2026, </w:t>
      </w:r>
      <w:hyperlink r:id="rId32">
        <w:r w:rsidDel="00000000" w:rsidR="00000000" w:rsidRPr="00000000">
          <w:rPr>
            <w:rFonts w:ascii="Google Sans" w:cs="Google Sans" w:eastAsia="Google Sans" w:hAnsi="Google Sans"/>
            <w:color w:val="0000ee"/>
            <w:sz w:val="24"/>
            <w:szCs w:val="24"/>
            <w:u w:val="single"/>
            <w:rtl w:val="0"/>
          </w:rPr>
          <w:t xml:space="preserve">https://mro.massey.ac.nz/bitstreams/91ceea52-e178-40d4-a3f8-c88a5f6919ac/download</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 Cute for Words: Cuteness Evokes the Heartwarming Emotion of Kama Muta, accessed May 10,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https://www.researchgate.net/publication/331451739_Too_Cute_for_Words_Cuteness_Evokes_the_Heartwarming_Emotion_of_Kama_Muta</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Converging Minds: EEG Synchrony During Communication About Moral Decision-Making in Dyadic Interactions - MDPI, accessed May 10, 2026, </w:t>
      </w:r>
      <w:hyperlink r:id="rId34">
        <w:r w:rsidDel="00000000" w:rsidR="00000000" w:rsidRPr="00000000">
          <w:rPr>
            <w:rFonts w:ascii="Google Sans" w:cs="Google Sans" w:eastAsia="Google Sans" w:hAnsi="Google Sans"/>
            <w:color w:val="0000ee"/>
            <w:sz w:val="24"/>
            <w:szCs w:val="24"/>
            <w:u w:val="single"/>
            <w:rtl w:val="0"/>
          </w:rPr>
          <w:t xml:space="preserve">https://www.mdpi.com/1424-8220/25/13/4239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233638157_Ancient_Architectural_Acoustic_Resonance_Patterns_and_Regional_Brain_Activity" TargetMode="External"/><Relationship Id="rId22" Type="http://schemas.openxmlformats.org/officeDocument/2006/relationships/hyperlink" Target="https://www.ancient-origins.net/news-history-archaeology/maltas-hypogeum" TargetMode="External"/><Relationship Id="rId21" Type="http://schemas.openxmlformats.org/officeDocument/2006/relationships/hyperlink" Target="https://otsf.org/archaeoacoustics" TargetMode="External"/><Relationship Id="rId24" Type="http://schemas.openxmlformats.org/officeDocument/2006/relationships/hyperlink" Target="https://www.researchgate.net/publication/8657465_Human_Head_Exposure_to_a_37_Hz_Electromagnetic_Field_Effects_on_Blood_Pressure_Somatosensory_Perception_and_Related_Parameters" TargetMode="External"/><Relationship Id="rId23" Type="http://schemas.openxmlformats.org/officeDocument/2006/relationships/hyperlink" Target="https://www.mindcool.com/products/audiobook-healing-meditation-music-110hz-60-minu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11.21731v1" TargetMode="External"/><Relationship Id="rId26" Type="http://schemas.openxmlformats.org/officeDocument/2006/relationships/hyperlink" Target="https://www.neuromusic.ca/wp-content/uploads/2024/10/VLF-NeuroMusic-Poster-1.pdf" TargetMode="External"/><Relationship Id="rId25" Type="http://schemas.openxmlformats.org/officeDocument/2006/relationships/hyperlink" Target="https://pubmed.ncbi.nlm.nih.gov/15042625/" TargetMode="External"/><Relationship Id="rId28" Type="http://schemas.openxmlformats.org/officeDocument/2006/relationships/hyperlink" Target="https://www.mdpi.com/2076-3425/15/10/1113" TargetMode="External"/><Relationship Id="rId27" Type="http://schemas.openxmlformats.org/officeDocument/2006/relationships/hyperlink" Target="https://cs.stanford.edu/people/baxelrod/pdfs/shadow-hardness-ijrr.pdf" TargetMode="External"/><Relationship Id="rId5" Type="http://schemas.openxmlformats.org/officeDocument/2006/relationships/styles" Target="styles.xml"/><Relationship Id="rId6" Type="http://schemas.openxmlformats.org/officeDocument/2006/relationships/hyperlink" Target="https://drive.google.com/open?id=1_OAVcPBOe9Q1Joe-44SzmcoqtsIdzxyWB-slC6CPu4I" TargetMode="External"/><Relationship Id="rId29" Type="http://schemas.openxmlformats.org/officeDocument/2006/relationships/hyperlink" Target="https://pmc.ncbi.nlm.nih.gov/articles/PMC12100797/" TargetMode="External"/><Relationship Id="rId7" Type="http://schemas.openxmlformats.org/officeDocument/2006/relationships/hyperlink" Target="https://drive.google.com/open?id=1L6UD--dl03Fj8l2wCeNx8aBHr_TgzMNsQMEYC8QJIc0" TargetMode="External"/><Relationship Id="rId8" Type="http://schemas.openxmlformats.org/officeDocument/2006/relationships/hyperlink" Target="https://arxiv.org/abs/1909.06845" TargetMode="External"/><Relationship Id="rId31" Type="http://schemas.openxmlformats.org/officeDocument/2006/relationships/hyperlink" Target="https://kamamutalab.org/wp-content/uploads/2022/01/TIME_SERIES_OF_FEELING_MOVED_final_unedited_complete.pdf" TargetMode="External"/><Relationship Id="rId30" Type="http://schemas.openxmlformats.org/officeDocument/2006/relationships/hyperlink" Target="https://www.aimspress.com/article/id/65e59fcfba35de421cfea31b" TargetMode="External"/><Relationship Id="rId11" Type="http://schemas.openxmlformats.org/officeDocument/2006/relationships/hyperlink" Target="https://drive.google.com/open?id=1mmTVeNNC3A6qXAdMPlSZWI81Y6dPNdMvpzaU4Hs0ltI" TargetMode="External"/><Relationship Id="rId33" Type="http://schemas.openxmlformats.org/officeDocument/2006/relationships/hyperlink" Target="https://www.researchgate.net/publication/331451739_Too_Cute_for_Words_Cuteness_Evokes_the_Heartwarming_Emotion_of_Kama_Muta" TargetMode="External"/><Relationship Id="rId10" Type="http://schemas.openxmlformats.org/officeDocument/2006/relationships/hyperlink" Target="https://royalsocietypublishing.org/doi/pdf/10.1098/rsta.2022.0378" TargetMode="External"/><Relationship Id="rId32" Type="http://schemas.openxmlformats.org/officeDocument/2006/relationships/hyperlink" Target="https://mro.massey.ac.nz/bitstreams/91ceea52-e178-40d4-a3f8-c88a5f6919ac/download" TargetMode="External"/><Relationship Id="rId13" Type="http://schemas.openxmlformats.org/officeDocument/2006/relationships/hyperlink" Target="https://psychiatryonline.org/doi/10.1176/appi.ajp.2016.15081089" TargetMode="External"/><Relationship Id="rId12" Type="http://schemas.openxmlformats.org/officeDocument/2006/relationships/hyperlink" Target="https://journals.plos.org/plosbiology/article?id=10.1371/journal.pbio.3003007" TargetMode="External"/><Relationship Id="rId34" Type="http://schemas.openxmlformats.org/officeDocument/2006/relationships/hyperlink" Target="https://www.mdpi.com/1424-8220/25/13/4239" TargetMode="External"/><Relationship Id="rId15" Type="http://schemas.openxmlformats.org/officeDocument/2006/relationships/hyperlink" Target="https://pmc.ncbi.nlm.nih.gov/articles/PMC7338003/" TargetMode="External"/><Relationship Id="rId14" Type="http://schemas.openxmlformats.org/officeDocument/2006/relationships/hyperlink" Target="https://pmc.ncbi.nlm.nih.gov/articles/PMC5841144/" TargetMode="External"/><Relationship Id="rId17" Type="http://schemas.openxmlformats.org/officeDocument/2006/relationships/hyperlink" Target="https://drops.dagstuhl.de/storage/00lipics/lipics-vol291-fun2024/LIPIcs.FUN.2024.26/LIPIcs.FUN.2024.26.pdf" TargetMode="External"/><Relationship Id="rId16" Type="http://schemas.openxmlformats.org/officeDocument/2006/relationships/hyperlink" Target="https://www.medrxiv.org/content/10.1101/2021.05.12.21257119.full" TargetMode="External"/><Relationship Id="rId19" Type="http://schemas.openxmlformats.org/officeDocument/2006/relationships/hyperlink" Target="https://www.independent.com.mt/articles/2009-12-02/news/acoustic-clues-for-modern-science-267117/cookie-declaration" TargetMode="External"/><Relationship Id="rId18" Type="http://schemas.openxmlformats.org/officeDocument/2006/relationships/hyperlink" Target="https://llm-stats.com/models/compare/claude-opus-4-1-20250805-vs-grok-code-fast-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