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digital-paper — Design Language System</w:t>
      </w:r>
    </w:p>
    <w:p>
      <w:pPr/>
      <w:r>
        <w:t xml:space="preserve">Oct 28, 2026</w:t>
      </w:r>
      <w:r>
        <w:t xml:space="preserve"> · </w:t>
      </w:r>
      <w:r>
        <w:t xml:space="preserve">@Shannon Ware</w:t>
      </w:r>
      <w:r>
        <w:t xml:space="preserve"> · Draft 0.1</w:t>
      </w:r>
    </w:p>
    <w:p>
      <w:pPr>
        <w:pStyle w:val="Heading2"/>
      </w:pPr>
      <w:r>
        <w:t xml:space="preserve">1. Purpose and scope</w:t>
      </w:r>
    </w:p>
    <w:p>
      <w:pPr/>
      <w:r>
        <w:t xml:space="preserve">digital-paper is a design language for rendering technical and didactic content as if it were printed, typed or plotted onto paper by computing machinery of roughly 1940–1995, while remaining a screen medium that can animate.</w:t>
      </w:r>
    </w:p>
    <w:p>
      <w:pPr/>
      <w:r>
        <w:rPr>
          <w:b/>
        </w:rPr>
        <w:t xml:space="preserve">In scope</w:t>
      </w:r>
    </w:p>
    <w:p>
      <w:pPr>
        <w:pStyle w:val="ListParagraph"/>
        <w:numPr>
          <w:ilvl w:val="0"/>
          <w:numId w:val="2"/>
        </w:numPr>
      </w:pPr>
      <w:r>
        <w:t xml:space="preserve">Didactic plates explaining statistical and machine-learning concepts (e.g. Figures 4.3–4.7: threshold sweeps, ROC curves, confusion matrices, k-fold rotation)</w:t>
      </w:r>
    </w:p>
    <w:p>
      <w:pPr>
        <w:pStyle w:val="ListParagraph"/>
        <w:numPr>
          <w:ilvl w:val="0"/>
          <w:numId w:val="2"/>
        </w:numPr>
      </w:pPr>
      <w:r>
        <w:t xml:space="preserve">Code listings, manual pages and photographic plates</w:t>
      </w:r>
    </w:p>
    <w:p>
      <w:pPr>
        <w:pStyle w:val="ListParagraph"/>
        <w:numPr>
          <w:ilvl w:val="0"/>
          <w:numId w:val="2"/>
        </w:numPr>
      </w:pPr>
      <w:r>
        <w:t xml:space="preserve">Still and animated social output, by default 1080 × 1350 px (4:5) at 25 fps</w:t>
      </w:r>
    </w:p>
    <w:p>
      <w:pPr>
        <w:pStyle w:val="ListParagraph"/>
        <w:numPr>
          <w:ilvl w:val="0"/>
          <w:numId w:val="2"/>
        </w:numPr>
      </w:pPr>
      <w:r>
        <w:t xml:space="preserve">Web surfaces styled through the </w:t>
      </w:r>
      <w:r>
        <w:rPr>
          <w:rStyle w:val="CodeChar"/>
        </w:rPr>
        <w:t xml:space="preserve">--sw-font-*</w:t>
      </w:r>
      <w:r>
        <w:t xml:space="preserve"> and related CSS tokens</w:t>
      </w:r>
    </w:p>
    <w:p>
      <w:pPr/>
      <w:r>
        <w:rPr>
          <w:b/>
        </w:rPr>
        <w:t xml:space="preserve">Out of scope (for now)</w:t>
      </w:r>
    </w:p>
    <w:p>
      <w:pPr>
        <w:pStyle w:val="ListParagraph"/>
        <w:numPr>
          <w:ilvl w:val="0"/>
          <w:numId w:val="3"/>
        </w:numPr>
      </w:pPr>
      <w:r>
        <w:t xml:space="preserve">Faithful facsimile or forgery of real publications, logos or trade dress</w:t>
      </w:r>
    </w:p>
    <w:p>
      <w:pPr>
        <w:pStyle w:val="ListParagraph"/>
        <w:numPr>
          <w:ilvl w:val="0"/>
          <w:numId w:val="3"/>
        </w:numPr>
      </w:pPr>
      <w:r>
        <w:t xml:space="preserve">Interactive application UI beyond static or lightly animated pages</w:t>
      </w:r>
    </w:p>
    <w:p>
      <w:pPr>
        <w:pStyle w:val="ListParagraph"/>
        <w:numPr>
          <w:ilvl w:val="0"/>
          <w:numId w:val="3"/>
        </w:numPr>
      </w:pPr>
      <w:r>
        <w:t xml:space="preserve">Colour printing processes other than a single spot accent (see open questions)</w:t>
      </w:r>
    </w:p>
    <w:p>
      <w:pPr>
        <w:pStyle w:val="Heading2"/>
      </w:pPr>
      <w:r>
        <w:t xml:space="preserve">2. Design philosophy and principles</w:t>
      </w:r>
    </w:p>
    <w:p>
      <w:pPr/>
      <w:r>
        <w:t xml:space="preserve">The language rests on a three-step argument: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Old computer manuals are cool.</w:t>
      </w:r>
      <w:r>
        <w:t xml:space="preserve"> Their authority comes from plain typography, numbered structure and diagrams that explain machines rather than sell them.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Circuits drawn on paper actually work.</w:t>
      </w:r>
      <w:r>
        <w:t xml:space="preserve"> Copper tape and graphite pencil make functional circuits, so paper is not only a record of a machine; it can be part of one.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Ink can behave like pixels.</w:t>
      </w:r>
      <w:r>
        <w:t xml:space="preserve"> If marks on paper may conduct, they may also update: dots can be added, removed and animated as on a screen.</w:t>
      </w:r>
    </w:p>
    <w:p>
      <w:pPr/>
      <w:r>
        <w:t xml:space="preserve">From this argument follow five working principles.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Plausible marks.</w:t>
      </w:r>
      <w:r>
        <w:t xml:space="preserve"> Every mark must be one a named marking engine could make: a pin strike, a toner dot, a typebar impression or a pencil line. Effects with no physical cause (gradients, drop shadows, glows, anti-aliased vectors at device scale) are excluded.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Paper is a substrate, not a texture.</w:t>
      </w:r>
      <w:r>
        <w:t xml:space="preserve"> Paper has stock, age, fibre and damage; it is modelled, not overlaid as a photograph of grain.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The page is a live circuit.</w:t>
      </w:r>
      <w:r>
        <w:t xml:space="preserve"> Motion is expressed as printing, erasure and re-striking on the page: a raster band descending, a threshold rule sweeping, a readout re-typed. The page never scrolls, zooms or fades like a screen.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Explanation before nostalgia.</w:t>
      </w:r>
      <w:r>
        <w:t xml:space="preserve"> Period character is permitted only where it leaves the figure readable and correct. A defect that obscures data is removed.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Numbered authority.</w:t>
      </w:r>
      <w:r>
        <w:t xml:space="preserve"> Content is organised as a manual: sections, figures, plates, listings and folios, each numbered and cross-referenced.</w:t>
      </w:r>
    </w:p>
    <w:p>
      <w:pPr/>
      <w:r>
        <w:rPr>
          <w:b/>
        </w:rPr>
        <w:t xml:space="preserve">Anachronism policy.</w:t>
      </w:r>
      <w:r>
        <w:t xml:space="preserve"> Mixing eras is allowed within one page only when each element is consistent with a single plausible document history, for example a 1980s laser page annotated in pencil. A laser-printed plate set in a 2020s geometric typeface is a deliberate liberty and must be recorded as such (see Section 5).</w:t>
      </w:r>
    </w:p>
    <w:p>
      <w:pPr>
        <w:pStyle w:val="Heading2"/>
      </w:pPr>
      <w:r>
        <w:t xml:space="preserve">3. Visual references</w:t>
      </w:r>
    </w:p>
    <w:p>
      <w:pPr/>
      <w:r>
        <w:t xml:space="preserve">Three references define the register: the typed engineering handbook, the corporate hardware manual, and the printed technical article.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97"/>
        <w:gridCol w:w="1543"/>
        <w:gridCol w:w="4920"/>
      </w:tblGrid>
      <w:tr>
        <w:trPr>
          <w:tblHeader/>
        </w:trPr>
        <w:tc>
          <w:tcPr>
            <w:tcW w:w="2897" w:type="dxa"/>
            <w:shd w:val="clear" w:color="auto" w:fill="F2F2F2"/>
          </w:tcPr>
          <w:p>
            <w:pPr/>
            <w:r>
              <w:t xml:space="preserve">Reference</w:t>
            </w:r>
          </w:p>
        </w:tc>
        <w:tc>
          <w:tcPr>
            <w:tcW w:w="1543" w:type="dxa"/>
            <w:shd w:val="clear" w:color="auto" w:fill="F2F2F2"/>
          </w:tcPr>
          <w:p>
            <w:pPr/>
            <w:r>
              <w:t xml:space="preserve">Period and engine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digital-paper takes from it</w:t>
            </w:r>
          </w:p>
        </w:tc>
      </w:tr>
      <w:tr>
        <w:tc>
          <w:tcPr>
            <w:tcW w:w="2897" w:type="dxa"/>
          </w:tcPr>
          <w:p>
            <w:pPr/>
            <w:r>
              <w:rPr>
                <w:rStyle w:val="CodeChar"/>
              </w:rPr>
              <w:t xml:space="preserve">user-manual-z.jpg</w:t>
            </w:r>
            <w:r>
              <w:t xml:space="preserve"> — ETH Zürich, </w:t>
            </w:r>
            <w:r>
              <w:rPr>
                <w:i/>
              </w:rPr>
              <w:t xml:space="preserve">Bedienungsanweisung Z4</w:t>
            </w:r>
          </w:p>
        </w:tc>
        <w:tc>
          <w:tcPr>
            <w:tcW w:w="1543" w:type="dxa"/>
          </w:tcPr>
          <w:p>
            <w:pPr/>
            <w:r>
              <w:t xml:space="preserve">c. 1950; typewriter on cream stock</w:t>
            </w:r>
          </w:p>
        </w:tc>
        <w:tc>
          <w:tcPr>
            <w:tcW w:w="4920" w:type="dxa"/>
          </w:tcPr>
          <w:p>
            <w:pPr/>
            <w:r>
              <w:t xml:space="preserve">Monospaced typed body; rules of </w:t>
            </w:r>
            <w:r>
              <w:rPr>
                <w:rStyle w:val="CodeChar"/>
              </w:rPr>
              <w:t xml:space="preserve">=</w:t>
            </w:r>
            <w:r>
              <w:t xml:space="preserve"> and </w:t>
            </w:r>
            <w:r>
              <w:rPr>
                <w:rStyle w:val="CodeChar"/>
              </w:rPr>
              <w:t xml:space="preserve">*</w:t>
            </w:r>
            <w:r>
              <w:t xml:space="preserve"> under headings; box-and-arrow block diagrams typed or ruled by hand; </w:t>
            </w:r>
            <w:r>
              <w:rPr>
                <w:rStyle w:val="CodeChar"/>
              </w:rPr>
              <w:t xml:space="preserve">§</w:t>
            </w:r>
            <w:r>
              <w:t xml:space="preserve"> numbering; bound edge visible at the margin</w:t>
            </w:r>
          </w:p>
        </w:tc>
      </w:tr>
      <w:tr>
        <w:tc>
          <w:tcPr>
            <w:tcW w:w="2897" w:type="dxa"/>
          </w:tcPr>
          <w:p>
            <w:pPr/>
            <w:r>
              <w:rPr>
                <w:rStyle w:val="CodeChar"/>
              </w:rPr>
              <w:t xml:space="preserve">vt382-thai-display-terminal-manual-cover.png</w:t>
            </w:r>
            <w:r>
              <w:t xml:space="preserve"> — Digital VT382 manual cover</w:t>
            </w:r>
          </w:p>
        </w:tc>
        <w:tc>
          <w:tcPr>
            <w:tcW w:w="1543" w:type="dxa"/>
          </w:tcPr>
          <w:p>
            <w:pPr/>
            <w:r>
              <w:t xml:space="preserve">c. 1990; offset print</w:t>
            </w:r>
          </w:p>
        </w:tc>
        <w:tc>
          <w:tcPr>
            <w:tcW w:w="4920" w:type="dxa"/>
          </w:tcPr>
          <w:p>
            <w:pPr/>
            <w:r>
              <w:t xml:space="preserve">Generous negative space; right-aligned geometric sans title stack; document number top right (</w:t>
            </w:r>
            <w:r>
              <w:rPr>
                <w:rStyle w:val="CodeChar"/>
              </w:rPr>
              <w:t xml:space="preserve">EK-…</w:t>
            </w:r>
            <w:r>
              <w:t xml:space="preserve">); line-art hardware illustration; manufacturer mark bottom right</w:t>
            </w:r>
          </w:p>
        </w:tc>
      </w:tr>
      <w:tr>
        <w:tc>
          <w:tcPr>
            <w:tcW w:w="2897" w:type="dxa"/>
          </w:tcPr>
          <w:p>
            <w:pPr/>
            <w:r>
              <w:rPr>
                <w:rStyle w:val="CodeChar"/>
              </w:rPr>
              <w:t xml:space="preserve">Defence-forces-mag-article-Comp-in-O-june-1987_001.jpg</w:t>
            </w:r>
            <w:r>
              <w:t xml:space="preserve"> — </w:t>
            </w:r>
            <w:r>
              <w:rPr>
                <w:i/>
              </w:rPr>
              <w:t xml:space="preserve">An Cosantóir</w:t>
            </w:r>
            <w:r>
              <w:t xml:space="preserve">, June 1987</w:t>
            </w:r>
          </w:p>
        </w:tc>
        <w:tc>
          <w:tcPr>
            <w:tcW w:w="1543" w:type="dxa"/>
          </w:tcPr>
          <w:p>
            <w:pPr/>
            <w:r>
              <w:t xml:space="preserve">1987; phototypeset magazine</w:t>
            </w:r>
          </w:p>
        </w:tc>
        <w:tc>
          <w:tcPr>
            <w:tcW w:w="4920" w:type="dxa"/>
          </w:tcPr>
          <w:p>
            <w:pPr/>
            <w:r>
              <w:t xml:space="preserve">Heavy display headline across the full measure; three justified columns; bold run-in section heads; lettered and numbered lists; halftone-free line drawing set into the columns; folio and masthead at the foot</w:t>
            </w:r>
          </w:p>
        </w:tc>
      </w:tr>
    </w:tbl>
    <w:p>
      <w:pPr/>
      <w:r>
        <w:rPr>
          <w:b/>
        </w:rPr>
        <w:t xml:space="preserve">Shared traits to preserve:</w:t>
      </w:r>
      <w:r>
        <w:t xml:space="preserve"> warm, slightly yellowed stock; black as the only ink; structure carried by numbering and rules rather than colour; illustrations drawn as line work rather than photographs.</w:t>
      </w:r>
    </w:p>
    <w:p>
      <w:pPr/>
      <w:r>
        <w:t xml:space="preserve">The reference images should be attached to this section when the document is next edited, so that each trait can be shown beside its source.</w:t>
      </w:r>
    </w:p>
    <w:p>
      <w:pPr>
        <w:pStyle w:val="Heading2"/>
      </w:pPr>
      <w:r>
        <w:t xml:space="preserve">4. Media model: substrates and marking engines</w:t>
      </w:r>
    </w:p>
    <w:p>
      <w:pPr/>
      <w:r>
        <w:t xml:space="preserve">Every page declares one substrate and one primary marking engine; secondary engines (e.g. pencil annotation) are optional.</w:t>
      </w:r>
    </w:p>
    <w:p>
      <w:pPr>
        <w:pStyle w:val="Heading3"/>
      </w:pPr>
      <w:r>
        <w:t xml:space="preserve">4.1 Substrates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6"/>
        <w:gridCol w:w="1702"/>
        <w:gridCol w:w="3706"/>
        <w:gridCol w:w="2156"/>
      </w:tblGrid>
      <w:tr>
        <w:trPr>
          <w:tblHeader/>
        </w:trPr>
        <w:tc>
          <w:tcPr>
            <w:tcW w:w="1796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1702" w:type="dxa"/>
            <w:shd w:val="clear" w:color="auto" w:fill="F2F2F2"/>
          </w:tcPr>
          <w:p>
            <w:pPr/>
            <w:r>
              <w:t xml:space="preserve">Base RGB</w:t>
            </w:r>
          </w:p>
        </w:tc>
        <w:tc>
          <w:tcPr>
            <w:tcW w:w="3706" w:type="dxa"/>
            <w:shd w:val="clear" w:color="auto" w:fill="F2F2F2"/>
          </w:tcPr>
          <w:p>
            <w:pPr/>
            <w:r>
              <w:t xml:space="preserve">Character</w:t>
            </w:r>
          </w:p>
        </w:tc>
        <w:tc>
          <w:tcPr>
            <w:tcW w:w="2156" w:type="dxa"/>
            <w:shd w:val="clear" w:color="auto" w:fill="F2F2F2"/>
          </w:tcPr>
          <w:p>
            <w:pPr/>
            <w:r>
              <w:t xml:space="preserve">Used in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paper.fanfold</w:t>
            </w:r>
          </w:p>
        </w:tc>
        <w:tc>
          <w:tcPr>
            <w:tcW w:w="1702" w:type="dxa"/>
          </w:tcPr>
          <w:p>
            <w:pPr/>
            <w:r>
              <w:t xml:space="preserve">236, 229, 210</w:t>
            </w:r>
          </w:p>
        </w:tc>
        <w:tc>
          <w:tcPr>
            <w:tcW w:w="3706" w:type="dxa"/>
          </w:tcPr>
          <w:p>
            <w:pPr/>
            <w:r>
              <w:t xml:space="preserve">Tractor-feed holes every 48 px, dotted perforation, vignette, 14 foxing spots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dotmatrix.py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paper.bond</w:t>
            </w:r>
          </w:p>
        </w:tc>
        <w:tc>
          <w:tcPr>
            <w:tcW w:w="1702" w:type="dxa"/>
          </w:tcPr>
          <w:p>
            <w:pPr/>
            <w:r>
              <w:t xml:space="preserve">243, 241, 234</w:t>
            </w:r>
          </w:p>
        </w:tc>
        <w:tc>
          <w:tcPr>
            <w:tcW w:w="3706" w:type="dxa"/>
          </w:tcPr>
          <w:p>
            <w:pPr/>
            <w:r>
              <w:t xml:space="preserve">Near-white, faint cloud and fibre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laser_photo.py</w:t>
            </w:r>
            <w:r>
              <w:t xml:space="preserve"> (plain)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paper.aged</w:t>
            </w:r>
          </w:p>
        </w:tc>
        <w:tc>
          <w:tcPr>
            <w:tcW w:w="1702" w:type="dxa"/>
          </w:tcPr>
          <w:p>
            <w:pPr/>
            <w:r>
              <w:t xml:space="preserve">234, 224, 200</w:t>
            </w:r>
          </w:p>
        </w:tc>
        <w:tc>
          <w:tcPr>
            <w:tcW w:w="3706" w:type="dxa"/>
          </w:tcPr>
          <w:p>
            <w:pPr/>
            <w:r>
              <w:t xml:space="preserve">Browned margins, vignette, 18 foxing spots, one horizontal fold at 47 % height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laser_listing.py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paper.ruled</w:t>
            </w:r>
          </w:p>
        </w:tc>
        <w:tc>
          <w:tcPr>
            <w:tcW w:w="1702" w:type="dxa"/>
          </w:tcPr>
          <w:p>
            <w:pPr/>
            <w:r>
              <w:t xml:space="preserve">scanned stock</w:t>
            </w:r>
          </w:p>
        </w:tc>
        <w:tc>
          <w:tcPr>
            <w:tcW w:w="3706" w:type="dxa"/>
          </w:tcPr>
          <w:p>
            <w:pPr/>
            <w:r>
              <w:t xml:space="preserve">Pale blue feint rules; supplied as an image</w:t>
            </w:r>
          </w:p>
        </w:tc>
        <w:tc>
          <w:tcPr>
            <w:tcW w:w="2156" w:type="dxa"/>
          </w:tcPr>
          <w:p>
            <w:pPr/>
            <w:r>
              <w:t xml:space="preserve">laser plates via </w:t>
            </w:r>
            <w:r>
              <w:rPr>
                <w:rStyle w:val="CodeChar"/>
              </w:rPr>
              <w:t xml:space="preserve">PAPER</w:t>
            </w:r>
            <w:r>
              <w:t xml:space="preserve"> argument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paper.typed</w:t>
            </w:r>
            <w:r>
              <w:t xml:space="preserve"> (proposed)</w:t>
            </w:r>
          </w:p>
        </w:tc>
        <w:tc>
          <w:tcPr>
            <w:tcW w:w="1702" w:type="dxa"/>
          </w:tcPr>
          <w:p>
            <w:pPr/>
            <w:r>
              <w:t xml:space="preserve">cream</w:t>
            </w:r>
          </w:p>
        </w:tc>
        <w:tc>
          <w:tcPr>
            <w:tcW w:w="3706" w:type="dxa"/>
          </w:tcPr>
          <w:p>
            <w:pPr/>
            <w:r>
              <w:t xml:space="preserve">Bound edge, typewriter stock as in the Z4 manual</w:t>
            </w:r>
          </w:p>
        </w:tc>
        <w:tc>
          <w:tcPr>
            <w:tcW w:w="2156" w:type="dxa"/>
          </w:tcPr>
          <w:p>
            <w:pPr/>
            <w:r>
              <w:t xml:space="preserve">not yet built</w:t>
            </w:r>
          </w:p>
        </w:tc>
      </w:tr>
    </w:tbl>
    <w:p>
      <w:pPr>
        <w:pStyle w:val="Heading3"/>
      </w:pPr>
      <w:r>
        <w:t xml:space="preserve">4.2 Marking engines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0"/>
        <w:gridCol w:w="1977"/>
        <w:gridCol w:w="3653"/>
        <w:gridCol w:w="2340"/>
      </w:tblGrid>
      <w:tr>
        <w:trPr>
          <w:tblHeader/>
        </w:trPr>
        <w:tc>
          <w:tcPr>
            <w:tcW w:w="1390" w:type="dxa"/>
            <w:shd w:val="clear" w:color="auto" w:fill="F2F2F2"/>
          </w:tcPr>
          <w:p>
            <w:pPr/>
            <w:r>
              <w:t xml:space="preserve">Engine</w:t>
            </w:r>
          </w:p>
        </w:tc>
        <w:tc>
          <w:tcPr>
            <w:tcW w:w="1977" w:type="dxa"/>
            <w:shd w:val="clear" w:color="auto" w:fill="F2F2F2"/>
          </w:tcPr>
          <w:p>
            <w:pPr/>
            <w:r>
              <w:t xml:space="preserve">Resolution and screen</w:t>
            </w:r>
          </w:p>
        </w:tc>
        <w:tc>
          <w:tcPr>
            <w:tcW w:w="3653" w:type="dxa"/>
            <w:shd w:val="clear" w:color="auto" w:fill="F2F2F2"/>
          </w:tcPr>
          <w:p>
            <w:pPr/>
            <w:r>
              <w:t xml:space="preserve">Signature defects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Reference script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Dot-matrix, 9-pin</w:t>
            </w:r>
          </w:p>
        </w:tc>
        <w:tc>
          <w:tcPr>
            <w:tcW w:w="1977" w:type="dxa"/>
          </w:tcPr>
          <w:p>
            <w:pPr/>
            <w:r>
              <w:t xml:space="preserve">Pin pitch 5 × 6 px; Floyd–Steinberg dither</w:t>
            </w:r>
          </w:p>
        </w:tc>
        <w:tc>
          <w:tcPr>
            <w:tcW w:w="3653" w:type="dxa"/>
          </w:tcPr>
          <w:p>
            <w:pPr/>
            <w:r>
              <w:t xml:space="preserve">Per-pass ribbon density, pass misregistration (σ 0.6 px), pin jitter (σ 0.25 px), ink bleed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dotmatrix.py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Laser, 300 dpi</w:t>
            </w:r>
          </w:p>
        </w:tc>
        <w:tc>
          <w:tcPr>
            <w:tcW w:w="1977" w:type="dxa"/>
          </w:tcPr>
          <w:p>
            <w:pPr/>
            <w:r>
              <w:t xml:space="preserve">53 lpi at 45°, Euclidean spot, about 33 grey levels</w:t>
            </w:r>
          </w:p>
        </w:tc>
        <w:tc>
          <w:tcPr>
            <w:tcW w:w="3653" w:type="dxa"/>
          </w:tcPr>
          <w:p>
            <w:pPr/>
            <w:r>
              <w:t xml:space="preserve">Dot gain, drum banding (periods H/7.3 and H/31), weak highlight dots dropping out (35–45 %), toner scatter near edges, low toner at one edge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laser_photo.py</w:t>
            </w:r>
            <w:r>
              <w:t xml:space="preserve">, </w:t>
            </w:r>
            <w:r>
              <w:rPr>
                <w:rStyle w:val="CodeChar"/>
              </w:rPr>
              <w:t xml:space="preserve">laser_listing.py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Laser, plate variant</w:t>
            </w:r>
          </w:p>
        </w:tc>
        <w:tc>
          <w:tcPr>
            <w:tcW w:w="1977" w:type="dxa"/>
          </w:tcPr>
          <w:p>
            <w:pPr/>
            <w:r>
              <w:t xml:space="preserve">Supersampled ×2; 5.5 px dot screen and 7 px hatch</w:t>
            </w:r>
          </w:p>
        </w:tc>
        <w:tc>
          <w:tcPr>
            <w:tcW w:w="3653" w:type="dxa"/>
          </w:tcPr>
          <w:p>
            <w:pPr/>
            <w:r>
              <w:t xml:space="preserve">Toner halo scatter (0.6 % of edge pixels)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laser_threshold.py</w:t>
            </w:r>
            <w:r>
              <w:t xml:space="preserve">, </w:t>
            </w:r>
            <w:r>
              <w:rPr>
                <w:rStyle w:val="CodeChar"/>
              </w:rPr>
              <w:t xml:space="preserve">laser_roc.py</w:t>
            </w:r>
            <w:r>
              <w:t xml:space="preserve">, etc.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Typewriter (proposed)</w:t>
            </w:r>
          </w:p>
        </w:tc>
        <w:tc>
          <w:tcPr>
            <w:tcW w:w="1977" w:type="dxa"/>
          </w:tcPr>
          <w:p>
            <w:pPr/>
            <w:r>
              <w:t xml:space="preserve">Fixed pitch</w:t>
            </w:r>
          </w:p>
        </w:tc>
        <w:tc>
          <w:tcPr>
            <w:tcW w:w="3653" w:type="dxa"/>
          </w:tcPr>
          <w:p>
            <w:pPr/>
            <w:r>
              <w:t xml:space="preserve">Uneven strike weight, ribbon fade, misaligned characters</w:t>
            </w:r>
          </w:p>
        </w:tc>
        <w:tc>
          <w:tcPr>
            <w:tcW w:w="2340" w:type="dxa"/>
          </w:tcPr>
          <w:p>
            <w:pPr/>
            <w:r>
              <w:t xml:space="preserve">not yet built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Pencil / copper tape (proposed)</w:t>
            </w:r>
          </w:p>
        </w:tc>
        <w:tc>
          <w:tcPr>
            <w:tcW w:w="1977" w:type="dxa"/>
          </w:tcPr>
          <w:p>
            <w:pPr/>
            <w:r>
              <w:t xml:space="preserve">Vector, hand-drawn</w:t>
            </w:r>
          </w:p>
        </w:tc>
        <w:tc>
          <w:tcPr>
            <w:tcW w:w="3653" w:type="dxa"/>
          </w:tcPr>
          <w:p>
            <w:pPr/>
            <w:r>
              <w:t xml:space="preserve">Graphite sheen, tape edges, solder blobs</w:t>
            </w:r>
          </w:p>
        </w:tc>
        <w:tc>
          <w:tcPr>
            <w:tcW w:w="2340" w:type="dxa"/>
          </w:tcPr>
          <w:p>
            <w:pPr/>
            <w:r>
              <w:t xml:space="preserve">not yet built</w:t>
            </w:r>
          </w:p>
        </w:tc>
      </w:tr>
    </w:tbl>
    <w:p>
      <w:pPr>
        <w:pStyle w:val="Heading3"/>
      </w:pPr>
      <w:r>
        <w:t xml:space="preserve">4.3 Fidelity rules</w:t>
      </w:r>
    </w:p>
    <w:p>
      <w:pPr>
        <w:pStyle w:val="ListParagraph"/>
        <w:numPr>
          <w:ilvl w:val="0"/>
          <w:numId w:val="6"/>
        </w:numPr>
      </w:pPr>
      <w:r>
        <w:t xml:space="preserve">Device pixels are binary: each is toner or paper, ink or not. Tone is made only by screening, dithering or hatching.</w:t>
      </w:r>
    </w:p>
    <w:p>
      <w:pPr>
        <w:pStyle w:val="ListParagraph"/>
        <w:numPr>
          <w:ilvl w:val="0"/>
          <w:numId w:val="6"/>
        </w:numPr>
      </w:pPr>
      <w:r>
        <w:t xml:space="preserve">Type on laser pages is rasterised without anti-aliasing at device resolution; smoothing comes only from the toner model.</w:t>
      </w:r>
    </w:p>
    <w:p>
      <w:pPr>
        <w:pStyle w:val="ListParagraph"/>
        <w:numPr>
          <w:ilvl w:val="0"/>
          <w:numId w:val="6"/>
        </w:numPr>
      </w:pPr>
      <w:r>
        <w:t xml:space="preserve">Ink and toner are never pure black: toner is RGB 22, 21, 24 (plates) or 20, 19, 22 (photos) at 0.95–0.96 coverage.</w:t>
      </w:r>
    </w:p>
    <w:p>
      <w:pPr>
        <w:pStyle w:val="ListParagraph"/>
        <w:numPr>
          <w:ilvl w:val="0"/>
          <w:numId w:val="6"/>
        </w:numPr>
      </w:pPr>
      <w:r>
        <w:t xml:space="preserve">Defects are seeded (</w:t>
      </w:r>
      <w:r>
        <w:rPr>
          <w:rStyle w:val="CodeChar"/>
        </w:rPr>
        <w:t xml:space="preserve">default_rng(&lt;year&gt;)</w:t>
      </w:r>
      <w:r>
        <w:t xml:space="preserve">) so every render is reproducible.</w:t>
      </w:r>
    </w:p>
    <w:p>
      <w:pPr>
        <w:pStyle w:val="Heading2"/>
      </w:pPr>
      <w:r>
        <w:t xml:space="preserve">5. Foundations</w:t>
      </w:r>
    </w:p>
    <w:p>
      <w:pPr/>
      <w:r>
        <w:t xml:space="preserve">Foundations are expressed as named tokens with the </w:t>
      </w:r>
      <w:r>
        <w:rPr>
          <w:rStyle w:val="CodeChar"/>
        </w:rPr>
        <w:t xml:space="preserve">--sw-</w:t>
      </w:r>
      <w:r>
        <w:t xml:space="preserve"> prefix, so that web pages and Python renderers share one vocabulary.</w:t>
      </w:r>
    </w:p>
    <w:p>
      <w:pPr>
        <w:pStyle w:val="Heading3"/>
      </w:pPr>
      <w:r>
        <w:t xml:space="preserve">5.1 Typography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3"/>
        <w:gridCol w:w="1186"/>
        <w:gridCol w:w="1492"/>
        <w:gridCol w:w="2008"/>
        <w:gridCol w:w="3131"/>
      </w:tblGrid>
      <w:tr>
        <w:trPr>
          <w:tblHeader/>
        </w:trPr>
        <w:tc>
          <w:tcPr>
            <w:tcW w:w="1543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Family</w:t>
            </w:r>
          </w:p>
        </w:tc>
        <w:tc>
          <w:tcPr>
            <w:tcW w:w="1492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008" w:type="dxa"/>
            <w:shd w:val="clear" w:color="auto" w:fill="F2F2F2"/>
          </w:tcPr>
          <w:p>
            <w:pPr/>
            <w:r>
              <w:t xml:space="preserve">Period fit</w:t>
            </w:r>
          </w:p>
        </w:tc>
        <w:tc>
          <w:tcPr>
            <w:tcW w:w="3131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543" w:type="dxa"/>
          </w:tcPr>
          <w:p>
            <w:pPr/>
            <w:r>
              <w:rPr>
                <w:rStyle w:val="CodeChar"/>
              </w:rPr>
              <w:t xml:space="preserve">--sw-font-display</w:t>
            </w:r>
          </w:p>
        </w:tc>
        <w:tc>
          <w:tcPr>
            <w:tcW w:w="1186" w:type="dxa"/>
          </w:tcPr>
          <w:p>
            <w:pPr/>
            <w:r>
              <w:t xml:space="preserve">Orbitron (400–900)</w:t>
            </w:r>
          </w:p>
        </w:tc>
        <w:tc>
          <w:tcPr>
            <w:tcW w:w="1492" w:type="dxa"/>
          </w:tcPr>
          <w:p>
            <w:pPr/>
            <w:r>
              <w:t xml:space="preserve">Display, plate titles, pull quotes</w:t>
            </w:r>
          </w:p>
        </w:tc>
        <w:tc>
          <w:tcPr>
            <w:tcW w:w="2008" w:type="dxa"/>
          </w:tcPr>
          <w:p>
            <w:pPr/>
            <w:r>
              <w:t xml:space="preserve">Liberty: a 2009 geometric face evoking terminal-era futurism</w:t>
            </w:r>
          </w:p>
        </w:tc>
        <w:tc>
          <w:tcPr>
            <w:tcW w:w="3131" w:type="dxa"/>
          </w:tcPr>
          <w:p>
            <w:pPr/>
            <w:r>
              <w:t xml:space="preserve">Wide and capital-led; use at 24 px and above, short strings only</w:t>
            </w:r>
          </w:p>
        </w:tc>
      </w:tr>
      <w:tr>
        <w:tc>
          <w:tcPr>
            <w:tcW w:w="1543" w:type="dxa"/>
          </w:tcPr>
          <w:p>
            <w:pPr/>
            <w:r>
              <w:rPr>
                <w:rStyle w:val="CodeChar"/>
              </w:rPr>
              <w:t xml:space="preserve">--sw-font-heading</w:t>
            </w:r>
          </w:p>
        </w:tc>
        <w:tc>
          <w:tcPr>
            <w:tcW w:w="1186" w:type="dxa"/>
          </w:tcPr>
          <w:p>
            <w:pPr/>
            <w:r>
              <w:t xml:space="preserve">Rubik Dirt</w:t>
            </w:r>
          </w:p>
        </w:tc>
        <w:tc>
          <w:tcPr>
            <w:tcW w:w="1492" w:type="dxa"/>
          </w:tcPr>
          <w:p>
            <w:pPr/>
            <w:r>
              <w:t xml:space="preserve">Section heads, accents</w:t>
            </w:r>
          </w:p>
        </w:tc>
        <w:tc>
          <w:tcPr>
            <w:tcW w:w="2008" w:type="dxa"/>
          </w:tcPr>
          <w:p>
            <w:pPr/>
            <w:r>
              <w:t xml:space="preserve">Liberty: a pre-distressed face</w:t>
            </w:r>
          </w:p>
        </w:tc>
        <w:tc>
          <w:tcPr>
            <w:tcW w:w="3131" w:type="dxa"/>
          </w:tcPr>
          <w:p>
            <w:pPr/>
            <w:r>
              <w:t xml:space="preserve">Already carries texture, so do not pass it through a marking engine as well</w:t>
            </w:r>
          </w:p>
        </w:tc>
      </w:tr>
      <w:tr>
        <w:tc>
          <w:tcPr>
            <w:tcW w:w="1543" w:type="dxa"/>
          </w:tcPr>
          <w:p>
            <w:pPr/>
            <w:r>
              <w:rPr>
                <w:rStyle w:val="CodeChar"/>
              </w:rPr>
              <w:t xml:space="preserve">--sw-font-body</w:t>
            </w:r>
          </w:p>
        </w:tc>
        <w:tc>
          <w:tcPr>
            <w:tcW w:w="1186" w:type="dxa"/>
          </w:tcPr>
          <w:p>
            <w:pPr/>
            <w:r>
              <w:t xml:space="preserve">Special Elite</w:t>
            </w:r>
          </w:p>
        </w:tc>
        <w:tc>
          <w:tcPr>
            <w:tcW w:w="1492" w:type="dxa"/>
          </w:tcPr>
          <w:p>
            <w:pPr/>
            <w:r>
              <w:t xml:space="preserve">Body, captions, meta, legal, interface</w:t>
            </w:r>
          </w:p>
        </w:tc>
        <w:tc>
          <w:tcPr>
            <w:tcW w:w="2008" w:type="dxa"/>
          </w:tcPr>
          <w:p>
            <w:pPr/>
            <w:r>
              <w:t xml:space="preserve">Strong: matches the typed Z4 manual</w:t>
            </w:r>
          </w:p>
        </w:tc>
        <w:tc>
          <w:tcPr>
            <w:tcW w:w="3131" w:type="dxa"/>
          </w:tcPr>
          <w:p>
            <w:pPr/>
            <w:r>
              <w:t xml:space="preserve">Single weight, no italic; uneven by design, so keep passages short</w:t>
            </w:r>
          </w:p>
        </w:tc>
      </w:tr>
      <w:tr>
        <w:tc>
          <w:tcPr>
            <w:tcW w:w="1543" w:type="dxa"/>
          </w:tcPr>
          <w:p>
            <w:pPr/>
            <w:r>
              <w:rPr>
                <w:rStyle w:val="CodeChar"/>
              </w:rPr>
              <w:t xml:space="preserve">--sw-font-mono</w:t>
            </w:r>
          </w:p>
        </w:tc>
        <w:tc>
          <w:tcPr>
            <w:tcW w:w="1186" w:type="dxa"/>
          </w:tcPr>
          <w:p>
            <w:pPr/>
            <w:r>
              <w:t xml:space="preserve">JetBrains Mono (100–800, italic)</w:t>
            </w:r>
          </w:p>
        </w:tc>
        <w:tc>
          <w:tcPr>
            <w:tcW w:w="1492" w:type="dxa"/>
          </w:tcPr>
          <w:p>
            <w:pPr/>
            <w:r>
              <w:t xml:space="preserve">Code, readouts, data</w:t>
            </w:r>
          </w:p>
        </w:tc>
        <w:tc>
          <w:tcPr>
            <w:tcW w:w="2008" w:type="dxa"/>
          </w:tcPr>
          <w:p>
            <w:pPr/>
            <w:r>
              <w:t xml:space="preserve">Liberty: modern programming face</w:t>
            </w:r>
          </w:p>
        </w:tc>
        <w:tc>
          <w:tcPr>
            <w:tcW w:w="3131" w:type="dxa"/>
          </w:tcPr>
          <w:p>
            <w:pPr/>
            <w:r>
              <w:t xml:space="preserve">Carries the monochrome syntax convention: bold keywords, italic strings</w:t>
            </w:r>
          </w:p>
        </w:tc>
      </w:tr>
      <w:tr>
        <w:tc>
          <w:tcPr>
            <w:tcW w:w="1543" w:type="dxa"/>
          </w:tcPr>
          <w:p>
            <w:pPr/>
            <w:r>
              <w:t xml:space="preserve">(unassigned)</w:t>
            </w:r>
          </w:p>
        </w:tc>
        <w:tc>
          <w:tcPr>
            <w:tcW w:w="1186" w:type="dxa"/>
          </w:tcPr>
          <w:p>
            <w:pPr/>
            <w:r>
              <w:t xml:space="preserve">Outfit (100–900)</w:t>
            </w:r>
          </w:p>
        </w:tc>
        <w:tc>
          <w:tcPr>
            <w:tcW w:w="1492" w:type="dxa"/>
          </w:tcPr>
          <w:p>
            <w:pPr/>
            <w:r>
              <w:t xml:space="preserve">Imported but not yet used</w:t>
            </w:r>
          </w:p>
        </w:tc>
        <w:tc>
          <w:tcPr>
            <w:tcW w:w="2008" w:type="dxa"/>
          </w:tcPr>
          <w:p>
            <w:pPr/>
            <w:r>
              <w:t xml:space="preserve">Close to the VT382 cover sans</w:t>
            </w:r>
          </w:p>
        </w:tc>
        <w:tc>
          <w:tcPr>
            <w:tcW w:w="3131" w:type="dxa"/>
          </w:tcPr>
          <w:p>
            <w:pPr/>
            <w:r>
              <w:t xml:space="preserve">Candidate for small UI text and dense captions</w:t>
            </w:r>
          </w:p>
        </w:tc>
      </w:tr>
    </w:tbl>
    <w:p>
      <w:pPr/>
      <w:r>
        <w:t xml:space="preserve">The supplied stylesheet, with syntax corrected and assignments unchanged:</w:t>
      </w:r>
    </w:p>
    <w:p>
      <w:pPr>
        <w:pStyle w:val="Code"/>
      </w:pPr>
      <w:bookmarkStart w:id="1" w:name="bongo_lang_css_1"/>
      <w:bookmarkEnd w:id="1"/>
      <w:r>
        <w:t xml:space="preserve">@import url('https://fonts.googleapis.com/css2?family=Orbitron:wght@400..900&amp;family=Outfit:wght@100..900&amp;display=swap');</w:t>
        <w:br/>
        <w:t xml:space="preserve">@import url('https://fonts.googleapis.com/css2?family=Rubik+Dirt&amp;display=swap');</w:t>
        <w:br/>
        <w:t xml:space="preserve">@import url('https://fonts.googleapis.com/css2?family=Special+Elite&amp;display=swap');</w:t>
        <w:br/>
        <w:t xml:space="preserve">@import url('https://fonts.googleapis.com/css2?family=JetBrains+Mono:ital,wght@0,100..800;1,100..800&amp;display=swap');</w:t>
        <w:br/>
        <w:br/>
        <w:t xml:space="preserve">:root {</w:t>
        <w:br/>
        <w:t xml:space="preserve">  /* Core families */</w:t>
        <w:br/>
        <w:t xml:space="preserve">  --sw-font-display: 'Orbitron', sans-serif;      /* Display titles and quotes */</w:t>
        <w:br/>
        <w:t xml:space="preserve">  --sw-font-heading: 'Rubik Dirt', sans-serif;    /* Distressed section heads */</w:t>
        <w:br/>
        <w:t xml:space="preserve">  --sw-font-body:    'Special Elite', serif;      /* Typewriter body layer */</w:t>
        <w:br/>
        <w:t xml:space="preserve">  --sw-font-mono:    'JetBrains Mono', monospace; /* Code and data */</w:t>
        <w:br/>
        <w:t xml:space="preserve">  /* --sw-font-ui:   'Outfit', sans-serif;  imported; not yet assigned */</w:t>
        <w:br/>
        <w:br/>
        <w:t xml:space="preserve">  /* Functional assignments */</w:t>
        <w:br/>
        <w:t xml:space="preserve">  --sw-font-interface:  var(--sw-font-body);</w:t>
        <w:br/>
        <w:t xml:space="preserve">  --sw-font-meta:       var(--sw-font-body);</w:t>
        <w:br/>
        <w:t xml:space="preserve">  --sw-font-caption:    var(--sw-font-body);</w:t>
        <w:br/>
        <w:t xml:space="preserve">  --sw-font-print-edge: var(--sw-font-interface);</w:t>
        <w:br/>
        <w:t xml:space="preserve">  --sw-font-quote:      var(--sw-font-display);</w:t>
        <w:br/>
        <w:t xml:space="preserve">  --sw-font-accent:     var(--sw-font-heading);</w:t>
        <w:br/>
        <w:t xml:space="preserve">  --sw-font-legal:      var(--sw-font-body);</w:t>
        <w:br/>
        <w:t xml:space="preserve">}</w:t>
      </w:r>
    </w:p>
    <w:p>
      <w:pPr/>
      <w:r>
        <w:t xml:space="preserve">Corrections made: </w:t>
      </w:r>
      <w:r>
        <w:rPr>
          <w:rStyle w:val="CodeChar"/>
        </w:rPr>
        <w:t xml:space="preserve">:css:root</w:t>
      </w:r>
      <w:r>
        <w:t xml:space="preserve"> became </w:t>
      </w:r>
      <w:r>
        <w:rPr>
          <w:rStyle w:val="CodeChar"/>
        </w:rPr>
        <w:t xml:space="preserve">:root</w:t>
      </w:r>
      <w:r>
        <w:t xml:space="preserve">; the closing brace was added; the comments on Rubik Dirt and Special Elite were reworded, since neither face is "clean" or "highly legible" in the usual sense.</w:t>
      </w:r>
    </w:p>
    <w:p>
      <w:pPr>
        <w:pStyle w:val="Heading3"/>
      </w:pPr>
      <w:r>
        <w:t xml:space="preserve">5.2 Colour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22"/>
        <w:gridCol w:w="2561"/>
        <w:gridCol w:w="3776"/>
      </w:tblGrid>
      <w:tr>
        <w:trPr>
          <w:tblHeader/>
        </w:trPr>
        <w:tc>
          <w:tcPr>
            <w:tcW w:w="3022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2561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776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3022" w:type="dxa"/>
          </w:tcPr>
          <w:p>
            <w:pPr/>
            <w:r>
              <w:rPr>
                <w:rStyle w:val="CodeChar"/>
              </w:rPr>
              <w:t xml:space="preserve">--sw-ink-toner</w:t>
            </w:r>
          </w:p>
        </w:tc>
        <w:tc>
          <w:tcPr>
            <w:tcW w:w="2561" w:type="dxa"/>
          </w:tcPr>
          <w:p>
            <w:pPr/>
            <w:r>
              <w:t xml:space="preserve">#161518 (22, 21, 24)</w:t>
            </w:r>
          </w:p>
        </w:tc>
        <w:tc>
          <w:tcPr>
            <w:tcW w:w="3776" w:type="dxa"/>
          </w:tcPr>
          <w:p>
            <w:pPr/>
            <w:r>
              <w:t xml:space="preserve">All laser marks</w:t>
            </w:r>
          </w:p>
        </w:tc>
      </w:tr>
      <w:tr>
        <w:tc>
          <w:tcPr>
            <w:tcW w:w="3022" w:type="dxa"/>
          </w:tcPr>
          <w:p>
            <w:pPr/>
            <w:r>
              <w:rPr>
                <w:rStyle w:val="CodeChar"/>
              </w:rPr>
              <w:t xml:space="preserve">--sw-ink-ribbon</w:t>
            </w:r>
          </w:p>
        </w:tc>
        <w:tc>
          <w:tcPr>
            <w:tcW w:w="2561" w:type="dxa"/>
          </w:tcPr>
          <w:p>
            <w:pPr/>
            <w:r>
              <w:t xml:space="preserve">#222126 (34, 33, 38)</w:t>
            </w:r>
          </w:p>
        </w:tc>
        <w:tc>
          <w:tcPr>
            <w:tcW w:w="3776" w:type="dxa"/>
          </w:tcPr>
          <w:p>
            <w:pPr/>
            <w:r>
              <w:t xml:space="preserve">Dot-matrix strikes</w:t>
            </w:r>
          </w:p>
        </w:tc>
      </w:tr>
      <w:tr>
        <w:tc>
          <w:tcPr>
            <w:tcW w:w="3022" w:type="dxa"/>
          </w:tcPr>
          <w:p>
            <w:pPr/>
            <w:r>
              <w:rPr>
                <w:rStyle w:val="CodeChar"/>
              </w:rPr>
              <w:t xml:space="preserve">--sw-paper-fanfold</w:t>
            </w:r>
          </w:p>
        </w:tc>
        <w:tc>
          <w:tcPr>
            <w:tcW w:w="2561" w:type="dxa"/>
          </w:tcPr>
          <w:p>
            <w:pPr/>
            <w:r>
              <w:t xml:space="preserve">#ECE5D2</w:t>
            </w:r>
          </w:p>
        </w:tc>
        <w:tc>
          <w:tcPr>
            <w:tcW w:w="3776" w:type="dxa"/>
          </w:tcPr>
          <w:p>
            <w:pPr/>
            <w:r>
              <w:t xml:space="preserve">Fanfold substrate</w:t>
            </w:r>
          </w:p>
        </w:tc>
      </w:tr>
      <w:tr>
        <w:tc>
          <w:tcPr>
            <w:tcW w:w="3022" w:type="dxa"/>
          </w:tcPr>
          <w:p>
            <w:pPr/>
            <w:r>
              <w:rPr>
                <w:rStyle w:val="CodeChar"/>
              </w:rPr>
              <w:t xml:space="preserve">--sw-paper-bond</w:t>
            </w:r>
          </w:p>
        </w:tc>
        <w:tc>
          <w:tcPr>
            <w:tcW w:w="2561" w:type="dxa"/>
          </w:tcPr>
          <w:p>
            <w:pPr/>
            <w:r>
              <w:t xml:space="preserve">#F3F1EA</w:t>
            </w:r>
          </w:p>
        </w:tc>
        <w:tc>
          <w:tcPr>
            <w:tcW w:w="3776" w:type="dxa"/>
          </w:tcPr>
          <w:p>
            <w:pPr/>
            <w:r>
              <w:t xml:space="preserve">Bond substrate</w:t>
            </w:r>
          </w:p>
        </w:tc>
      </w:tr>
      <w:tr>
        <w:tc>
          <w:tcPr>
            <w:tcW w:w="3022" w:type="dxa"/>
          </w:tcPr>
          <w:p>
            <w:pPr/>
            <w:r>
              <w:rPr>
                <w:rStyle w:val="CodeChar"/>
              </w:rPr>
              <w:t xml:space="preserve">--sw-paper-aged</w:t>
            </w:r>
          </w:p>
        </w:tc>
        <w:tc>
          <w:tcPr>
            <w:tcW w:w="2561" w:type="dxa"/>
          </w:tcPr>
          <w:p>
            <w:pPr/>
            <w:r>
              <w:t xml:space="preserve">#EAE0C8</w:t>
            </w:r>
          </w:p>
        </w:tc>
        <w:tc>
          <w:tcPr>
            <w:tcW w:w="3776" w:type="dxa"/>
          </w:tcPr>
          <w:p>
            <w:pPr/>
            <w:r>
              <w:t xml:space="preserve">Aged substrate</w:t>
            </w:r>
          </w:p>
        </w:tc>
      </w:tr>
      <w:tr>
        <w:tc>
          <w:tcPr>
            <w:tcW w:w="3022" w:type="dxa"/>
          </w:tcPr>
          <w:p>
            <w:pPr/>
            <w:r>
              <w:rPr>
                <w:rStyle w:val="CodeChar"/>
              </w:rPr>
              <w:t xml:space="preserve">--sw-rule-perforation</w:t>
            </w:r>
          </w:p>
        </w:tc>
        <w:tc>
          <w:tcPr>
            <w:tcW w:w="2561" w:type="dxa"/>
          </w:tcPr>
          <w:p>
            <w:pPr/>
            <w:r>
              <w:t xml:space="preserve">#C4BCAA</w:t>
            </w:r>
          </w:p>
        </w:tc>
        <w:tc>
          <w:tcPr>
            <w:tcW w:w="3776" w:type="dxa"/>
          </w:tcPr>
          <w:p>
            <w:pPr/>
            <w:r>
              <w:t xml:space="preserve">Perforations and faint furniture</w:t>
            </w:r>
          </w:p>
        </w:tc>
      </w:tr>
    </w:tbl>
    <w:p>
      <w:pPr/>
      <w:r>
        <w:t xml:space="preserve">No other colours appear in print. A single spot accent (for instance copper for paper-circuit traces) is an open question.</w:t>
      </w:r>
    </w:p>
    <w:p>
      <w:pPr>
        <w:pStyle w:val="Heading3"/>
      </w:pPr>
      <w:r>
        <w:t xml:space="preserve">5.3 Tone and pattern</w:t>
      </w:r>
    </w:p>
    <w:p>
      <w:pPr/>
      <w:r>
        <w:t xml:space="preserve">Tone carries meaning, so each pattern has one semantic role.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6"/>
        <w:gridCol w:w="3691"/>
        <w:gridCol w:w="3752"/>
      </w:tblGrid>
      <w:tr>
        <w:trPr>
          <w:tblHeader/>
        </w:trPr>
        <w:tc>
          <w:tcPr>
            <w:tcW w:w="1916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3691" w:type="dxa"/>
            <w:shd w:val="clear" w:color="auto" w:fill="F2F2F2"/>
          </w:tcPr>
          <w:p>
            <w:pPr/>
            <w:r>
              <w:t xml:space="preserve">Definition</w:t>
            </w:r>
          </w:p>
        </w:tc>
        <w:tc>
          <w:tcPr>
            <w:tcW w:w="3752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tone.dots</w:t>
            </w:r>
          </w:p>
        </w:tc>
        <w:tc>
          <w:tcPr>
            <w:tcW w:w="3691" w:type="dxa"/>
          </w:tcPr>
          <w:p>
            <w:pPr/>
            <w:r>
              <w:t xml:space="preserve">45° dot screen, 5.5 px period, 25–30 % cover</w:t>
            </w:r>
          </w:p>
        </w:tc>
        <w:tc>
          <w:tcPr>
            <w:tcW w:w="3752" w:type="dxa"/>
          </w:tcPr>
          <w:p>
            <w:pPr/>
            <w:r>
              <w:t xml:space="preserve">Gain, numerator, area of interest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tone.dots-fine</w:t>
            </w:r>
          </w:p>
        </w:tc>
        <w:tc>
          <w:tcPr>
            <w:tcW w:w="3691" w:type="dxa"/>
          </w:tcPr>
          <w:p>
            <w:pPr/>
            <w:r>
              <w:t xml:space="preserve">4.5 px period, 18 % cover</w:t>
            </w:r>
          </w:p>
        </w:tc>
        <w:tc>
          <w:tcPr>
            <w:tcW w:w="3752" w:type="dxa"/>
          </w:tcPr>
          <w:p>
            <w:pPr/>
            <w:r>
              <w:t xml:space="preserve">Secondary area (e.g. AUC)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tone.hatch</w:t>
            </w:r>
          </w:p>
        </w:tc>
        <w:tc>
          <w:tcPr>
            <w:tcW w:w="3691" w:type="dxa"/>
          </w:tcPr>
          <w:p>
            <w:pPr/>
            <w:r>
              <w:t xml:space="preserve">45° lines, 7–9 px period</w:t>
            </w:r>
          </w:p>
        </w:tc>
        <w:tc>
          <w:tcPr>
            <w:tcW w:w="3752" w:type="dxa"/>
          </w:tcPr>
          <w:p>
            <w:pPr/>
            <w:r>
              <w:t xml:space="preserve">Shortfall, remainder of denominator, held-out fold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tone.tint</w:t>
            </w:r>
          </w:p>
        </w:tc>
        <w:tc>
          <w:tcPr>
            <w:tcW w:w="3691" w:type="dxa"/>
          </w:tcPr>
          <w:p>
            <w:pPr/>
            <w:r>
              <w:t xml:space="preserve">53 lpi screen, 7 % (cell) or 22 % (fill)</w:t>
            </w:r>
          </w:p>
        </w:tc>
        <w:tc>
          <w:tcPr>
            <w:tcW w:w="3752" w:type="dxa"/>
          </w:tcPr>
          <w:p>
            <w:pPr/>
            <w:r>
              <w:t xml:space="preserve">Backgrounds and neutral fills</w:t>
            </w:r>
          </w:p>
        </w:tc>
      </w:tr>
    </w:tbl>
    <w:p>
      <w:pPr>
        <w:pStyle w:val="Heading3"/>
      </w:pPr>
      <w:r>
        <w:t xml:space="preserve">5.4 Grid and page furniture</w:t>
      </w:r>
    </w:p>
    <w:p>
      <w:pPr>
        <w:pStyle w:val="ListParagraph"/>
        <w:numPr>
          <w:ilvl w:val="0"/>
          <w:numId w:val="7"/>
        </w:numPr>
      </w:pPr>
      <w:r>
        <w:t xml:space="preserve">Canvas: 1080 × 1350 px (4:5); plates may use 1088 × 1372 when supersampled panels require it.</w:t>
      </w:r>
    </w:p>
    <w:p>
      <w:pPr>
        <w:pStyle w:val="ListParagraph"/>
        <w:numPr>
          <w:ilvl w:val="0"/>
          <w:numId w:val="7"/>
        </w:numPr>
      </w:pPr>
      <w:r>
        <w:t xml:space="preserve">Text block: left 95 px, right 985–993 px.</w:t>
      </w:r>
    </w:p>
    <w:p>
      <w:pPr>
        <w:pStyle w:val="ListParagraph"/>
        <w:numPr>
          <w:ilvl w:val="0"/>
          <w:numId w:val="7"/>
        </w:numPr>
      </w:pPr>
      <w:r>
        <w:t xml:space="preserve">Running head at y ≈ 70–92 px: section name in italic at left, folio at right, a 2 px rule beneath.</w:t>
      </w:r>
    </w:p>
    <w:p>
      <w:pPr>
        <w:pStyle w:val="ListParagraph"/>
        <w:numPr>
          <w:ilvl w:val="0"/>
          <w:numId w:val="7"/>
        </w:numPr>
      </w:pPr>
      <w:r>
        <w:t xml:space="preserve">Colophon at y ≈ 1250–1300 px: hairline rule, then </w:t>
      </w:r>
      <w:r>
        <w:rPr>
          <w:rStyle w:val="CodeChar"/>
        </w:rPr>
        <w:t xml:space="preserve">300 dpi · 53 lpi @ 45° · PostScript Level 2</w:t>
      </w:r>
      <w:r>
        <w:t xml:space="preserve"> at left and the folio at right.</w:t>
      </w:r>
    </w:p>
    <w:p>
      <w:pPr>
        <w:pStyle w:val="ListParagraph"/>
        <w:numPr>
          <w:ilvl w:val="0"/>
          <w:numId w:val="7"/>
        </w:numPr>
      </w:pPr>
      <w:r>
        <w:t xml:space="preserve">Folios are hyphenated with an en dash (</w:t>
      </w:r>
      <w:r>
        <w:rPr>
          <w:rStyle w:val="CodeChar"/>
        </w:rPr>
        <w:t xml:space="preserve">4–7</w:t>
      </w:r>
      <w:r>
        <w:t xml:space="preserve">); supplementary plates take a letter suffix (</w:t>
      </w:r>
      <w:r>
        <w:rPr>
          <w:rStyle w:val="CodeChar"/>
        </w:rPr>
        <w:t xml:space="preserve">4–7a</w:t>
      </w:r>
      <w:r>
        <w:t xml:space="preserve">).</w:t>
      </w:r>
    </w:p>
    <w:p>
      <w:pPr>
        <w:pStyle w:val="Heading2"/>
      </w:pPr>
      <w:r>
        <w:t xml:space="preserve">6. Editorial conventions</w:t>
      </w:r>
    </w:p>
    <w:p>
      <w:pPr/>
      <w:r>
        <w:t xml:space="preserve">All content is addressed as parts of one manual.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0"/>
        <w:gridCol w:w="3559"/>
        <w:gridCol w:w="3341"/>
      </w:tblGrid>
      <w:tr>
        <w:trPr>
          <w:tblHeader/>
        </w:trPr>
        <w:tc>
          <w:tcPr>
            <w:tcW w:w="2460" w:type="dxa"/>
            <w:shd w:val="clear" w:color="auto" w:fill="F2F2F2"/>
          </w:tcPr>
          <w:p>
            <w:pPr/>
            <w:r>
              <w:t xml:space="preserve">Unit</w:t>
            </w:r>
          </w:p>
        </w:tc>
        <w:tc>
          <w:tcPr>
            <w:tcW w:w="3559" w:type="dxa"/>
            <w:shd w:val="clear" w:color="auto" w:fill="F2F2F2"/>
          </w:tcPr>
          <w:p>
            <w:pPr/>
            <w:r>
              <w:t xml:space="preserve">Form</w:t>
            </w:r>
          </w:p>
        </w:tc>
        <w:tc>
          <w:tcPr>
            <w:tcW w:w="3341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Section</w:t>
            </w:r>
          </w:p>
        </w:tc>
        <w:tc>
          <w:tcPr>
            <w:tcW w:w="3559" w:type="dxa"/>
          </w:tcPr>
          <w:p>
            <w:pPr/>
            <w:r>
              <w:rPr>
                <w:rStyle w:val="CodeChar"/>
              </w:rPr>
              <w:t xml:space="preserve">Section n · Title</w:t>
            </w:r>
            <w:r>
              <w:t xml:space="preserve"> in the running head</w:t>
            </w:r>
          </w:p>
        </w:tc>
        <w:tc>
          <w:tcPr>
            <w:tcW w:w="3341" w:type="dxa"/>
          </w:tcPr>
          <w:p>
            <w:pPr/>
            <w:r>
              <w:t xml:space="preserve">Section 4 · Model Calibration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Figure</w:t>
            </w:r>
          </w:p>
        </w:tc>
        <w:tc>
          <w:tcPr>
            <w:tcW w:w="3559" w:type="dxa"/>
          </w:tcPr>
          <w:p>
            <w:pPr/>
            <w:r>
              <w:rPr>
                <w:rStyle w:val="CodeChar"/>
              </w:rPr>
              <w:t xml:space="preserve">Figure n.m</w:t>
            </w:r>
            <w:r>
              <w:t xml:space="preserve"> + title in bold</w:t>
            </w:r>
          </w:p>
        </w:tc>
        <w:tc>
          <w:tcPr>
            <w:tcW w:w="3341" w:type="dxa"/>
          </w:tcPr>
          <w:p>
            <w:pPr/>
            <w:r>
              <w:t xml:space="preserve">Figure 4.4 Error rates and the ROC curve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Supplementary figure</w:t>
            </w:r>
          </w:p>
        </w:tc>
        <w:tc>
          <w:tcPr>
            <w:tcW w:w="3559" w:type="dxa"/>
          </w:tcPr>
          <w:p>
            <w:pPr/>
            <w:r>
              <w:t xml:space="preserve">Letter suffix</w:t>
            </w:r>
          </w:p>
        </w:tc>
        <w:tc>
          <w:tcPr>
            <w:tcW w:w="3341" w:type="dxa"/>
          </w:tcPr>
          <w:p>
            <w:pPr/>
            <w:r>
              <w:t xml:space="preserve">Figure 4.3a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Panel</w:t>
            </w:r>
          </w:p>
        </w:tc>
        <w:tc>
          <w:tcPr>
            <w:tcW w:w="3559" w:type="dxa"/>
          </w:tcPr>
          <w:p>
            <w:pPr/>
            <w:r>
              <w:rPr>
                <w:rStyle w:val="CodeChar"/>
              </w:rPr>
              <w:t xml:space="preserve">(a)</w:t>
            </w:r>
            <w:r>
              <w:t xml:space="preserve">, </w:t>
            </w:r>
            <w:r>
              <w:rPr>
                <w:rStyle w:val="CodeChar"/>
              </w:rPr>
              <w:t xml:space="preserve">(b)</w:t>
            </w:r>
            <w:r>
              <w:t xml:space="preserve"> in bold italic</w:t>
            </w:r>
          </w:p>
        </w:tc>
        <w:tc>
          <w:tcPr>
            <w:tcW w:w="3341" w:type="dxa"/>
          </w:tcPr>
          <w:p>
            <w:pPr/>
            <w:r>
              <w:t xml:space="preserve">(b) Receiver operating characteristic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Listing</w:t>
            </w:r>
          </w:p>
        </w:tc>
        <w:tc>
          <w:tcPr>
            <w:tcW w:w="3559" w:type="dxa"/>
          </w:tcPr>
          <w:p>
            <w:pPr/>
            <w:r>
              <w:rPr>
                <w:rStyle w:val="CodeChar"/>
              </w:rPr>
              <w:t xml:space="preserve">Listing n.m</w:t>
            </w:r>
          </w:p>
        </w:tc>
        <w:tc>
          <w:tcPr>
            <w:tcW w:w="3341" w:type="dxa"/>
          </w:tcPr>
          <w:p>
            <w:pPr/>
            <w:r>
              <w:t xml:space="preserve">Listing 4.1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Plate (dot-matrix)</w:t>
            </w:r>
          </w:p>
        </w:tc>
        <w:tc>
          <w:tcPr>
            <w:tcW w:w="3559" w:type="dxa"/>
          </w:tcPr>
          <w:p>
            <w:pPr/>
            <w:r>
              <w:rPr>
                <w:rStyle w:val="CodeChar"/>
              </w:rPr>
              <w:t xml:space="preserve">FIG. n-m</w:t>
            </w:r>
            <w:r>
              <w:t xml:space="preserve"> in capitals</w:t>
            </w:r>
          </w:p>
        </w:tc>
        <w:tc>
          <w:tcPr>
            <w:tcW w:w="3341" w:type="dxa"/>
          </w:tcPr>
          <w:p>
            <w:pPr/>
            <w:r>
              <w:t xml:space="preserve">FIG. 4-3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Notebook cell</w:t>
            </w:r>
          </w:p>
        </w:tc>
        <w:tc>
          <w:tcPr>
            <w:tcW w:w="3559" w:type="dxa"/>
          </w:tcPr>
          <w:p>
            <w:pPr/>
            <w:r>
              <w:rPr>
                <w:rStyle w:val="CodeChar"/>
              </w:rPr>
              <w:t xml:space="preserve">In [n]:</w:t>
            </w:r>
            <w:r>
              <w:t xml:space="preserve"> / </w:t>
            </w:r>
            <w:r>
              <w:rPr>
                <w:rStyle w:val="CodeChar"/>
              </w:rPr>
              <w:t xml:space="preserve">Out[n]:</w:t>
            </w:r>
            <w:r>
              <w:t xml:space="preserve"> in mono</w:t>
            </w:r>
          </w:p>
        </w:tc>
        <w:tc>
          <w:tcPr>
            <w:tcW w:w="3341" w:type="dxa"/>
          </w:tcPr>
          <w:p>
            <w:pPr/>
            <w:r>
              <w:t xml:space="preserve">In [47]:</w:t>
            </w:r>
          </w:p>
        </w:tc>
      </w:tr>
    </w:tbl>
    <w:p>
      <w:pPr/>
      <w:r>
        <w:rPr>
          <w:b/>
        </w:rPr>
        <w:t xml:space="preserve">Captions.</w:t>
      </w:r>
      <w:r>
        <w:t xml:space="preserve"> Captions are written in the present tense and in plain declarative sentences. The first sentence states what the figure shows; later sentences state what to notice. Four lines is the norm, five the maximum.</w:t>
      </w:r>
    </w:p>
    <w:p>
      <w:pPr/>
      <w:r>
        <w:rPr>
          <w:b/>
        </w:rPr>
        <w:t xml:space="preserve">Numbers.</w:t>
      </w:r>
      <w:r>
        <w:t xml:space="preserve"> Rates and scores are reported to three decimals in readouts and two in prose; thousands take a comma (1,410). Mathematical minus (−) and multiplication (×) signs are used, not hyphens or the letter x.</w:t>
      </w:r>
    </w:p>
    <w:p>
      <w:pPr/>
      <w:r>
        <w:rPr>
          <w:b/>
        </w:rPr>
        <w:t xml:space="preserve">Cross-reference.</w:t>
      </w:r>
      <w:r>
        <w:t xml:space="preserve"> A figure that serves as a baseline names the figure it is compared with (e.g. Figure 4.5 refers to J* = 0.56 and AUC = 0.86 in Figure 4.4).</w:t>
      </w:r>
    </w:p>
    <w:p>
      <w:pPr/>
      <w:r>
        <w:rPr>
          <w:b/>
        </w:rPr>
        <w:t xml:space="preserve">Proofreading.</w:t>
      </w:r>
      <w:r>
        <w:t xml:space="preserve"> Titles are checked before render, since a typo in a rasterised plate cannot be corrected in place. The current title of Listing 4.1 reads </w:t>
      </w:r>
      <w:r>
        <w:rPr>
          <w:i/>
        </w:rPr>
        <w:t xml:space="preserve">Tain the model and evaluate it</w:t>
      </w:r>
      <w:r>
        <w:t xml:space="preserve"> and should read </w:t>
      </w:r>
      <w:r>
        <w:rPr>
          <w:i/>
        </w:rPr>
        <w:t xml:space="preserve">Train</w:t>
      </w:r>
      <w:r>
        <w:t xml:space="preserve">.</w:t>
      </w:r>
    </w:p>
    <w:p>
      <w:pPr>
        <w:pStyle w:val="Heading2"/>
      </w:pPr>
      <w:r>
        <w:t xml:space="preserve">7. Components</w:t>
      </w:r>
    </w:p>
    <w:p>
      <w:pPr/>
      <w:r>
        <w:t xml:space="preserve">Each component is specified by its anatomy, permitted variants and one governing rule.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0"/>
        <w:gridCol w:w="3783"/>
        <w:gridCol w:w="1581"/>
        <w:gridCol w:w="2605"/>
      </w:tblGrid>
      <w:tr>
        <w:trPr>
          <w:tblHeader/>
        </w:trPr>
        <w:tc>
          <w:tcPr>
            <w:tcW w:w="139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3783" w:type="dxa"/>
            <w:shd w:val="clear" w:color="auto" w:fill="F2F2F2"/>
          </w:tcPr>
          <w:p>
            <w:pPr/>
            <w:r>
              <w:t xml:space="preserve">Anatomy</w:t>
            </w:r>
          </w:p>
        </w:tc>
        <w:tc>
          <w:tcPr>
            <w:tcW w:w="1581" w:type="dxa"/>
            <w:shd w:val="clear" w:color="auto" w:fill="F2F2F2"/>
          </w:tcPr>
          <w:p>
            <w:pPr/>
            <w:r>
              <w:t xml:space="preserve">Variants</w:t>
            </w:r>
          </w:p>
        </w:tc>
        <w:tc>
          <w:tcPr>
            <w:tcW w:w="2605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Axes frame</w:t>
            </w:r>
          </w:p>
        </w:tc>
        <w:tc>
          <w:tcPr>
            <w:tcW w:w="3783" w:type="dxa"/>
          </w:tcPr>
          <w:p>
            <w:pPr/>
            <w:r>
              <w:t xml:space="preserve">1.6 px box, 7–8 px outward ticks, sans tick labels, italic serif axis titles, rotated y-title</w:t>
            </w:r>
          </w:p>
        </w:tc>
        <w:tc>
          <w:tcPr>
            <w:tcW w:w="1581" w:type="dxa"/>
          </w:tcPr>
          <w:p>
            <w:pPr/>
            <w:r>
              <w:t xml:space="preserve">Single panel; stacked (a)/(b) panels</w:t>
            </w:r>
          </w:p>
        </w:tc>
        <w:tc>
          <w:tcPr>
            <w:tcW w:w="2605" w:type="dxa"/>
          </w:tcPr>
          <w:p>
            <w:pPr/>
            <w:r>
              <w:t xml:space="preserve">Ticks outward only; no gridlines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Data line</w:t>
            </w:r>
          </w:p>
        </w:tc>
        <w:tc>
          <w:tcPr>
            <w:tcW w:w="3783" w:type="dxa"/>
          </w:tcPr>
          <w:p>
            <w:pPr/>
            <w:r>
              <w:t xml:space="preserve">2.6 px solid; 2.2 px dashed (9 on, 6 off) for the second series</w:t>
            </w:r>
          </w:p>
        </w:tc>
        <w:tc>
          <w:tcPr>
            <w:tcW w:w="1581" w:type="dxa"/>
          </w:tcPr>
          <w:p>
            <w:pPr/>
            <w:r>
              <w:t xml:space="preserve">Solid, dashed, dotted chance line (3 on, 5 off)</w:t>
            </w:r>
          </w:p>
        </w:tc>
        <w:tc>
          <w:tcPr>
            <w:tcW w:w="2605" w:type="dxa"/>
          </w:tcPr>
          <w:p>
            <w:pPr/>
            <w:r>
              <w:t xml:space="preserve">Series are distinguished by stroke pattern, never colour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Marker</w:t>
            </w:r>
          </w:p>
        </w:tc>
        <w:tc>
          <w:tcPr>
            <w:tcW w:w="3783" w:type="dxa"/>
          </w:tcPr>
          <w:p>
            <w:pPr/>
            <w:r>
              <w:t xml:space="preserve">Open circle (positive / TPR), open square (negative / FPR), filled when "called positive"</w:t>
            </w:r>
          </w:p>
        </w:tc>
        <w:tc>
          <w:tcPr>
            <w:tcW w:w="1581" w:type="dxa"/>
          </w:tcPr>
          <w:p>
            <w:pPr/>
            <w:r>
              <w:t xml:space="preserve">Radius 5–7 px</w:t>
            </w:r>
          </w:p>
        </w:tc>
        <w:tc>
          <w:tcPr>
            <w:tcW w:w="2605" w:type="dxa"/>
          </w:tcPr>
          <w:p>
            <w:pPr/>
            <w:r>
              <w:t xml:space="preserve">Filled versus open always means predicted state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Threshold rule</w:t>
            </w:r>
          </w:p>
        </w:tc>
        <w:tc>
          <w:tcPr>
            <w:tcW w:w="3783" w:type="dxa"/>
          </w:tcPr>
          <w:p>
            <w:pPr/>
            <w:r>
              <w:t xml:space="preserve">Vertical dotted line (4 on, 4 off) sweeping with t</w:t>
            </w:r>
          </w:p>
        </w:tc>
        <w:tc>
          <w:tcPr>
            <w:tcW w:w="1581" w:type="dxa"/>
          </w:tcPr>
          <w:p>
            <w:pPr/>
            <w:r>
              <w:t xml:space="preserve">Extends into score strips</w:t>
            </w:r>
          </w:p>
        </w:tc>
        <w:tc>
          <w:tcPr>
            <w:tcW w:w="2605" w:type="dxa"/>
          </w:tcPr>
          <w:p>
            <w:pPr/>
            <w:r>
              <w:t xml:space="preserve">One per panel, synchronised across panels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Readout box</w:t>
            </w:r>
          </w:p>
        </w:tc>
        <w:tc>
          <w:tcPr>
            <w:tcW w:w="3783" w:type="dxa"/>
          </w:tcPr>
          <w:p>
            <w:pPr/>
            <w:r>
              <w:t xml:space="preserve">Ruled box, mono text, </w:t>
            </w:r>
            <w:r>
              <w:rPr>
                <w:rStyle w:val="CodeChar"/>
              </w:rPr>
              <w:t xml:space="preserve">name = value</w:t>
            </w:r>
            <w:r>
              <w:t xml:space="preserve"> lines aligned on </w:t>
            </w:r>
            <w:r>
              <w:rPr>
                <w:rStyle w:val="CodeChar"/>
              </w:rPr>
              <w:t xml:space="preserve">=</w:t>
            </w:r>
          </w:p>
        </w:tc>
        <w:tc>
          <w:tcPr>
            <w:tcW w:w="1581" w:type="dxa"/>
          </w:tcPr>
          <w:p>
            <w:pPr/>
            <w:r>
              <w:t xml:space="preserve">3–4 lines</w:t>
            </w:r>
          </w:p>
        </w:tc>
        <w:tc>
          <w:tcPr>
            <w:tcW w:w="2605" w:type="dxa"/>
          </w:tcPr>
          <w:p>
            <w:pPr/>
            <w:r>
              <w:t xml:space="preserve">Knocks out everything beneath it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Callout</w:t>
            </w:r>
          </w:p>
        </w:tc>
        <w:tc>
          <w:tcPr>
            <w:tcW w:w="3783" w:type="dxa"/>
          </w:tcPr>
          <w:p>
            <w:pPr/>
            <w:r>
              <w:t xml:space="preserve">Ruled or unruled box, bold sans head, small sans detail, 1.3 px leader, optional arrowhead</w:t>
            </w:r>
          </w:p>
        </w:tc>
        <w:tc>
          <w:tcPr>
            <w:tcW w:w="1581" w:type="dxa"/>
          </w:tcPr>
          <w:p>
            <w:pPr/>
            <w:r>
              <w:t xml:space="preserve">Boxed (key result), unboxed (side note)</w:t>
            </w:r>
          </w:p>
        </w:tc>
        <w:tc>
          <w:tcPr>
            <w:tcW w:w="2605" w:type="dxa"/>
          </w:tcPr>
          <w:p>
            <w:pPr/>
            <w:r>
              <w:t xml:space="preserve">Leader ends at the datum, never on text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Dimension bracket</w:t>
            </w:r>
          </w:p>
        </w:tc>
        <w:tc>
          <w:tcPr>
            <w:tcW w:w="3783" w:type="dxa"/>
          </w:tcPr>
          <w:p>
            <w:pPr/>
            <w:r>
              <w:t xml:space="preserve">Vertical line with end ticks, bold label (J, J*)</w:t>
            </w:r>
          </w:p>
        </w:tc>
        <w:tc>
          <w:tcPr>
            <w:tcW w:w="1581" w:type="dxa"/>
          </w:tcPr>
          <w:p>
            <w:pPr/>
            <w:r>
              <w:t xml:space="preserve">Left or right label</w:t>
            </w:r>
          </w:p>
        </w:tc>
        <w:tc>
          <w:tcPr>
            <w:tcW w:w="2605" w:type="dxa"/>
          </w:tcPr>
          <w:p>
            <w:pPr/>
            <w:r>
              <w:t xml:space="preserve">Marks a difference that also appears in another panel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Best-so-far mark</w:t>
            </w:r>
          </w:p>
        </w:tc>
        <w:tc>
          <w:tcPr>
            <w:tcW w:w="3783" w:type="dxa"/>
          </w:tcPr>
          <w:p>
            <w:pPr/>
            <w:r>
              <w:t xml:space="preserve">Filled downward triangle above the point</w:t>
            </w:r>
          </w:p>
        </w:tc>
        <w:tc>
          <w:tcPr>
            <w:tcW w:w="1581" w:type="dxa"/>
          </w:tcPr>
          <w:p>
            <w:pPr/>
            <w:r>
              <w:t xml:space="preserve">—</w:t>
            </w:r>
          </w:p>
        </w:tc>
        <w:tc>
          <w:tcPr>
            <w:tcW w:w="2605" w:type="dxa"/>
          </w:tcPr>
          <w:p>
            <w:pPr/>
            <w:r>
              <w:t xml:space="preserve">Moves only when the maximum improves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Score strip</w:t>
            </w:r>
          </w:p>
        </w:tc>
        <w:tc>
          <w:tcPr>
            <w:tcW w:w="3783" w:type="dxa"/>
          </w:tcPr>
          <w:p>
            <w:pPr/>
            <w:r>
              <w:t xml:space="preserve">Ruled band beneath (a), one row per class</w:t>
            </w:r>
          </w:p>
        </w:tc>
        <w:tc>
          <w:tcPr>
            <w:tcW w:w="1581" w:type="dxa"/>
          </w:tcPr>
          <w:p>
            <w:pPr/>
            <w:r>
              <w:t xml:space="preserve">Sample of 18–46 marks per row</w:t>
            </w:r>
          </w:p>
        </w:tc>
        <w:tc>
          <w:tcPr>
            <w:tcW w:w="2605" w:type="dxa"/>
          </w:tcPr>
          <w:p>
            <w:pPr/>
            <w:r>
              <w:t xml:space="preserve">Marks use the marker rule above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Confusion matrix</w:t>
            </w:r>
          </w:p>
        </w:tc>
        <w:tc>
          <w:tcPr>
            <w:tcW w:w="3783" w:type="dxa"/>
          </w:tcPr>
          <w:p>
            <w:pPr/>
            <w:r>
              <w:t xml:space="preserve">2 × 2 ruled grid, cell code (TP) bold, name small, count right-aligned mono; mark field 15 per row</w:t>
            </w:r>
          </w:p>
        </w:tc>
        <w:tc>
          <w:tcPr>
            <w:tcW w:w="1581" w:type="dxa"/>
          </w:tcPr>
          <w:p>
            <w:pPr/>
            <w:r>
              <w:t xml:space="preserve">Each mark = 10 cases</w:t>
            </w:r>
          </w:p>
        </w:tc>
        <w:tc>
          <w:tcPr>
            <w:tcW w:w="2605" w:type="dxa"/>
          </w:tcPr>
          <w:p>
            <w:pPr/>
            <w:r>
              <w:t xml:space="preserve">Numerator dotted, rest of denominator hatched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Code cell</w:t>
            </w:r>
          </w:p>
        </w:tc>
        <w:tc>
          <w:tcPr>
            <w:tcW w:w="3783" w:type="dxa"/>
          </w:tcPr>
          <w:p>
            <w:pPr/>
            <w:r>
              <w:rPr>
                <w:rStyle w:val="CodeChar"/>
              </w:rPr>
              <w:t xml:space="preserve">In [n]:</w:t>
            </w:r>
            <w:r>
              <w:t xml:space="preserve"> label, 7 % tint box, mono text</w:t>
            </w:r>
          </w:p>
        </w:tc>
        <w:tc>
          <w:tcPr>
            <w:tcW w:w="1581" w:type="dxa"/>
          </w:tcPr>
          <w:p>
            <w:pPr/>
            <w:r>
              <w:t xml:space="preserve">With or without output</w:t>
            </w:r>
          </w:p>
        </w:tc>
        <w:tc>
          <w:tcPr>
            <w:tcW w:w="2605" w:type="dxa"/>
          </w:tcPr>
          <w:p>
            <w:pPr/>
            <w:r>
              <w:t xml:space="preserve">Syntax by weight and slant only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Running head and colophon</w:t>
            </w:r>
          </w:p>
        </w:tc>
        <w:tc>
          <w:tcPr>
            <w:tcW w:w="3783" w:type="dxa"/>
          </w:tcPr>
          <w:p>
            <w:pPr/>
            <w:r>
              <w:t xml:space="preserve">See Section 5.4</w:t>
            </w:r>
          </w:p>
        </w:tc>
        <w:tc>
          <w:tcPr>
            <w:tcW w:w="1581" w:type="dxa"/>
          </w:tcPr>
          <w:p>
            <w:pPr/>
            <w:r>
              <w:t xml:space="preserve">—</w:t>
            </w:r>
          </w:p>
        </w:tc>
        <w:tc>
          <w:tcPr>
            <w:tcW w:w="2605" w:type="dxa"/>
          </w:tcPr>
          <w:p>
            <w:pPr/>
            <w:r>
              <w:t xml:space="preserve">Present on every page</w:t>
            </w:r>
          </w:p>
        </w:tc>
      </w:tr>
    </w:tbl>
    <w:p>
      <w:pPr/>
      <w:r>
        <w:t xml:space="preserve">A dot-matrix variant of each component is drawn at pin pitch: rules become rows of pin strikes, and text uses 5 × 7-style glyphs.</w:t>
      </w:r>
    </w:p>
    <w:p>
      <w:pPr>
        <w:pStyle w:val="Heading2"/>
      </w:pPr>
      <w:r>
        <w:t xml:space="preserve">8. Motion</w:t>
      </w:r>
    </w:p>
    <w:p>
      <w:pPr/>
      <w:r>
        <w:t xml:space="preserve">Motion depicts the page being printed and then operated, never a camera moving over it. At 25 fps, a standard plate runs for about 13–15 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Print-in, 60 frames (2.4 s).</w:t>
      </w:r>
      <w:r>
        <w:t xml:space="preserve"> A raster band descends from top to bottom with a 6 px soft edge, revealing the static plate.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Settle, 10–12 frames.</w:t>
      </w:r>
      <w:r>
        <w:t xml:space="preserve"> The finished page holds still.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Operate, 160–200 frames.</w:t>
      </w:r>
      <w:r>
        <w:t xml:space="preserve"> The governing parameter (usually a threshold t) sweeps from 0 to 1 with cosine easing; lines, tints, markers and readouts update together.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Annotate.</w:t>
      </w:r>
      <w:r>
        <w:t xml:space="preserve"> On completion, the result callouts are struck in.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Hold, 90–110 frames.</w:t>
      </w:r>
      <w:r>
        <w:t xml:space="preserve"> The annotated page holds for reading.</w:t>
      </w:r>
    </w:p>
    <w:p>
      <w:pPr/>
      <w:r>
        <w:rPr>
          <w:b/>
        </w:rPr>
        <w:t xml:space="preserve">Build-up variant.</w:t>
      </w:r>
      <w:r>
        <w:t xml:space="preserve"> Tabular plates (e.g. Figure 4.3a) fill marks in a random order over about 70 frames, then strike formulas part by part. Each part is wiped in over 7 frames and held for 22 frames, and the last part of each formula for 34.</w:t>
      </w:r>
    </w:p>
    <w:p>
      <w:pPr/>
      <w:r>
        <w:rPr>
          <w:b/>
        </w:rPr>
        <w:t xml:space="preserve">Rules</w:t>
      </w:r>
    </w:p>
    <w:p>
      <w:pPr>
        <w:pStyle w:val="ListParagraph"/>
        <w:numPr>
          <w:ilvl w:val="0"/>
          <w:numId w:val="9"/>
        </w:numPr>
      </w:pPr>
      <w:r>
        <w:t xml:space="preserve">Every frame must be a valid printed page: no cross-fades, scaling, blur or camera motion.</w:t>
      </w:r>
    </w:p>
    <w:p>
      <w:pPr>
        <w:pStyle w:val="ListParagraph"/>
        <w:numPr>
          <w:ilvl w:val="0"/>
          <w:numId w:val="9"/>
        </w:numPr>
      </w:pPr>
      <w:r>
        <w:t xml:space="preserve">Text is struck or wiped in by scan line, never typed letter by letter, unless the engine is a typewriter or teletype.</w:t>
      </w:r>
    </w:p>
    <w:p>
      <w:pPr>
        <w:pStyle w:val="ListParagraph"/>
        <w:numPr>
          <w:ilvl w:val="0"/>
          <w:numId w:val="9"/>
        </w:numPr>
      </w:pPr>
      <w:r>
        <w:t xml:space="preserve">Annotations appear only once the state they describe is reached.</w:t>
      </w:r>
    </w:p>
    <w:p>
      <w:pPr>
        <w:pStyle w:val="Heading2"/>
      </w:pPr>
      <w:r>
        <w:t xml:space="preserve">9. Accessibility and legibility</w:t>
      </w:r>
    </w:p>
    <w:p>
      <w:pPr/>
      <w:r>
        <w:t xml:space="preserve">Period defects may never cost the reader the content, so each rule below overrides the media model.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Feed-size test.</w:t>
      </w:r>
      <w:r>
        <w:t xml:space="preserve"> Every plate is checked at 360 px wide, roughly a phone feed. Text below 14 px at 1080 px width fails, as does a callout that cannot be read at that size.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Contrast.</w:t>
      </w:r>
      <w:r>
        <w:t xml:space="preserve"> After ageing, toner on paper must stay at or above 7:1 for body text and 4.5:1 for annotations. Foxing and browning are kept out of the text block.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Distressed faces.</w:t>
      </w:r>
      <w:r>
        <w:t xml:space="preserve"> Rubik Dirt and Orbitron are limited to headings of six words or fewer. Special Elite is limited to passages of about 60 words; longer copy needs a cleaner body face (see open questions).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Defect placement.</w:t>
      </w:r>
      <w:r>
        <w:t xml:space="preserve"> Banding, scatter and dropout are never allowed to break a digit, a minus sign or a decimal point.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Non-visual access.</w:t>
      </w:r>
      <w:r>
        <w:t xml:space="preserve"> Each published plate carries alt text stating the figure's finding with its key number. Animated output carries the same text in the post body.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Motion.</w:t>
      </w:r>
      <w:r>
        <w:t xml:space="preserve"> No flashing above 3 Hz. The final frame must stand alone as a complete still.</w:t>
      </w:r>
    </w:p>
    <w:p>
      <w:pPr>
        <w:pStyle w:val="Heading2"/>
      </w:pPr>
      <w:r>
        <w:t xml:space="preserve">10. Implementation</w:t>
      </w:r>
    </w:p>
    <w:p>
      <w:pPr/>
      <w:r>
        <w:t xml:space="preserve">The system is currently implemented as seven standalone Python scripts that share code by copying it; the first task is to consolidate them into one library.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18"/>
        <w:gridCol w:w="3618"/>
        <w:gridCol w:w="1722"/>
      </w:tblGrid>
      <w:tr>
        <w:trPr>
          <w:tblHeader/>
        </w:trPr>
        <w:tc>
          <w:tcPr>
            <w:tcW w:w="4018" w:type="dxa"/>
            <w:shd w:val="clear" w:color="auto" w:fill="F2F2F2"/>
          </w:tcPr>
          <w:p>
            <w:pPr/>
            <w:r>
              <w:t xml:space="preserve">Script</w:t>
            </w:r>
          </w:p>
        </w:tc>
        <w:tc>
          <w:tcPr>
            <w:tcW w:w="3618" w:type="dxa"/>
            <w:shd w:val="clear" w:color="auto" w:fill="F2F2F2"/>
          </w:tcPr>
          <w:p>
            <w:pPr/>
            <w:r>
              <w:t xml:space="preserve">Produces</w:t>
            </w:r>
          </w:p>
        </w:tc>
        <w:tc>
          <w:tcPr>
            <w:tcW w:w="1722" w:type="dxa"/>
            <w:shd w:val="clear" w:color="auto" w:fill="F2F2F2"/>
          </w:tcPr>
          <w:p>
            <w:pPr/>
            <w:r>
              <w:t xml:space="preserve">Engine</w:t>
            </w:r>
          </w:p>
        </w:tc>
      </w:tr>
      <w:tr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dotmatrix.py</w:t>
            </w:r>
          </w:p>
        </w:tc>
        <w:tc>
          <w:tcPr>
            <w:tcW w:w="3618" w:type="dxa"/>
          </w:tcPr>
          <w:p>
            <w:pPr/>
            <w:r>
              <w:t xml:space="preserve">Photographic plate on fanfold</w:t>
            </w:r>
          </w:p>
        </w:tc>
        <w:tc>
          <w:tcPr>
            <w:tcW w:w="1722" w:type="dxa"/>
          </w:tcPr>
          <w:p>
            <w:pPr/>
            <w:r>
              <w:t xml:space="preserve">Dot-matrix</w:t>
            </w:r>
          </w:p>
        </w:tc>
      </w:tr>
      <w:tr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laser_photo.py</w:t>
            </w:r>
          </w:p>
        </w:tc>
        <w:tc>
          <w:tcPr>
            <w:tcW w:w="3618" w:type="dxa"/>
          </w:tcPr>
          <w:p>
            <w:pPr/>
            <w:r>
              <w:t xml:space="preserve">Photographic plate</w:t>
            </w:r>
          </w:p>
        </w:tc>
        <w:tc>
          <w:tcPr>
            <w:tcW w:w="1722" w:type="dxa"/>
          </w:tcPr>
          <w:p>
            <w:pPr/>
            <w:r>
              <w:t xml:space="preserve">Laser 300 dpi</w:t>
            </w:r>
          </w:p>
        </w:tc>
      </w:tr>
      <w:tr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laser_listing.py</w:t>
            </w:r>
          </w:p>
        </w:tc>
        <w:tc>
          <w:tcPr>
            <w:tcW w:w="3618" w:type="dxa"/>
          </w:tcPr>
          <w:p>
            <w:pPr/>
            <w:r>
              <w:t xml:space="preserve">Code listing with schematic</w:t>
            </w:r>
          </w:p>
        </w:tc>
        <w:tc>
          <w:tcPr>
            <w:tcW w:w="1722" w:type="dxa"/>
          </w:tcPr>
          <w:p>
            <w:pPr/>
            <w:r>
              <w:t xml:space="preserve">Laser 300 dpi</w:t>
            </w:r>
          </w:p>
        </w:tc>
      </w:tr>
      <w:tr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laser_threshold.py</w:t>
            </w:r>
          </w:p>
        </w:tc>
        <w:tc>
          <w:tcPr>
            <w:tcW w:w="3618" w:type="dxa"/>
          </w:tcPr>
          <w:p>
            <w:pPr/>
            <w:r>
              <w:t xml:space="preserve">Figure 4.3 animation</w:t>
            </w:r>
          </w:p>
        </w:tc>
        <w:tc>
          <w:tcPr>
            <w:tcW w:w="1722" w:type="dxa"/>
          </w:tcPr>
          <w:p>
            <w:pPr/>
            <w:r>
              <w:t xml:space="preserve">Laser plate</w:t>
            </w:r>
          </w:p>
        </w:tc>
      </w:tr>
      <w:tr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laser_metrics.py</w:t>
            </w:r>
          </w:p>
        </w:tc>
        <w:tc>
          <w:tcPr>
            <w:tcW w:w="3618" w:type="dxa"/>
          </w:tcPr>
          <w:p>
            <w:pPr/>
            <w:r>
              <w:t xml:space="preserve">Figure 4.3a animation</w:t>
            </w:r>
          </w:p>
        </w:tc>
        <w:tc>
          <w:tcPr>
            <w:tcW w:w="1722" w:type="dxa"/>
          </w:tcPr>
          <w:p>
            <w:pPr/>
            <w:r>
              <w:t xml:space="preserve">Laser plate</w:t>
            </w:r>
          </w:p>
        </w:tc>
      </w:tr>
      <w:tr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laser_roc.py</w:t>
            </w:r>
          </w:p>
        </w:tc>
        <w:tc>
          <w:tcPr>
            <w:tcW w:w="3618" w:type="dxa"/>
          </w:tcPr>
          <w:p>
            <w:pPr/>
            <w:r>
              <w:t xml:space="preserve">Figure 4.4 animation</w:t>
            </w:r>
          </w:p>
        </w:tc>
        <w:tc>
          <w:tcPr>
            <w:tcW w:w="1722" w:type="dxa"/>
          </w:tcPr>
          <w:p>
            <w:pPr/>
            <w:r>
              <w:t xml:space="preserve">Laser plate</w:t>
            </w:r>
          </w:p>
        </w:tc>
      </w:tr>
      <w:tr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laser_random.py</w:t>
            </w:r>
            <w:r>
              <w:t xml:space="preserve">, </w:t>
            </w:r>
            <w:r>
              <w:rPr>
                <w:rStyle w:val="CodeChar"/>
              </w:rPr>
              <w:t xml:space="preserve">laser_ideal.py</w:t>
            </w:r>
          </w:p>
        </w:tc>
        <w:tc>
          <w:tcPr>
            <w:tcW w:w="3618" w:type="dxa"/>
          </w:tcPr>
          <w:p>
            <w:pPr/>
            <w:r>
              <w:t xml:space="preserve">Figures 4.5 and 4.6 animations</w:t>
            </w:r>
          </w:p>
        </w:tc>
        <w:tc>
          <w:tcPr>
            <w:tcW w:w="1722" w:type="dxa"/>
          </w:tcPr>
          <w:p>
            <w:pPr/>
            <w:r>
              <w:t xml:space="preserve">Laser plate</w:t>
            </w:r>
          </w:p>
        </w:tc>
      </w:tr>
    </w:tbl>
    <w:p>
      <w:pPr/>
      <w:r>
        <w:rPr>
          <w:b/>
        </w:rPr>
        <w:t xml:space="preserve">Proposed package structure (</w:t>
      </w:r>
      <w:r>
        <w:rPr>
          <w:rStyle w:val="CodeChar"/>
          <w:b/>
        </w:rPr>
        <w:t xml:space="preserve">digitalpaper/</w:t>
      </w:r>
      <w:r>
        <w:rPr>
          <w:b/>
        </w:rPr>
        <w:t xml:space="preserve">)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tokens.py</w:t>
      </w:r>
      <w:r>
        <w:t xml:space="preserve">: colours, screens, page geometry and font paths, mirrored from the CSS tokens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paper.py</w:t>
      </w:r>
      <w:r>
        <w:t xml:space="preserve">: substrate generators (fanfold, bond, aged, typed)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engines/</w:t>
      </w:r>
      <w:r>
        <w:t xml:space="preserve">: </w:t>
      </w:r>
      <w:r>
        <w:rPr>
          <w:rStyle w:val="CodeChar"/>
        </w:rPr>
        <w:t xml:space="preserve">laser.py</w:t>
      </w:r>
      <w:r>
        <w:t xml:space="preserve"> (screen, dot gain, banding, </w:t>
      </w:r>
      <w:r>
        <w:rPr>
          <w:rStyle w:val="CodeChar"/>
        </w:rPr>
        <w:t xml:space="preserve">tonerise</w:t>
      </w:r>
      <w:r>
        <w:t xml:space="preserve">, </w:t>
      </w:r>
      <w:r>
        <w:rPr>
          <w:rStyle w:val="CodeChar"/>
        </w:rPr>
        <w:t xml:space="preserve">compose</w:t>
      </w:r>
      <w:r>
        <w:t xml:space="preserve">), </w:t>
      </w:r>
      <w:r>
        <w:rPr>
          <w:rStyle w:val="CodeChar"/>
        </w:rPr>
        <w:t xml:space="preserve">dotmatrix.py</w:t>
      </w:r>
      <w:r>
        <w:t xml:space="preserve"> (dither, </w:t>
      </w:r>
      <w:r>
        <w:rPr>
          <w:rStyle w:val="CodeChar"/>
        </w:rPr>
        <w:t xml:space="preserve">strike</w:t>
      </w:r>
      <w:r>
        <w:t xml:space="preserve">), </w:t>
      </w:r>
      <w:r>
        <w:rPr>
          <w:rStyle w:val="CodeChar"/>
        </w:rPr>
        <w:t xml:space="preserve">typewriter.py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components.py</w:t>
      </w:r>
      <w:r>
        <w:t xml:space="preserve">: axes, readout, callout, bracket, marker, score strip, matrix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motion.py</w:t>
      </w:r>
      <w:r>
        <w:t xml:space="preserve">: print-in, sweep, wipe and hold timelines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export.py</w:t>
      </w:r>
      <w:r>
        <w:t xml:space="preserve">: frame sequences to MP4 (H.264, </w:t>
      </w:r>
      <w:r>
        <w:rPr>
          <w:rStyle w:val="CodeChar"/>
        </w:rPr>
        <w:t xml:space="preserve">-preset veryfast</w:t>
      </w:r>
      <w:r>
        <w:t xml:space="preserve">) and stills</w:t>
      </w:r>
    </w:p>
    <w:p>
      <w:pPr/>
      <w:r>
        <w:rPr>
          <w:b/>
        </w:rPr>
        <w:t xml:space="preserve">Fonts in the renderers.</w:t>
      </w:r>
      <w:r>
        <w:t xml:space="preserve"> The scripts currently use Liberation and DejaVu. To adopt the chosen families, download the TTF files of Orbitron, Rubik Dirt, Special Elite, JetBrains Mono and Outfit from Google Fonts into a </w:t>
      </w:r>
      <w:r>
        <w:rPr>
          <w:rStyle w:val="CodeChar"/>
        </w:rPr>
        <w:t xml:space="preserve">fonts/</w:t>
      </w:r>
      <w:r>
        <w:t xml:space="preserve"> folder and reference them only through </w:t>
      </w:r>
      <w:r>
        <w:rPr>
          <w:rStyle w:val="CodeChar"/>
        </w:rPr>
        <w:t xml:space="preserve">tokens.py</w:t>
      </w:r>
      <w:r>
        <w:t xml:space="preserve">.</w:t>
      </w:r>
    </w:p>
    <w:p>
      <w:pPr/>
      <w:r>
        <w:rPr>
          <w:b/>
        </w:rPr>
        <w:t xml:space="preserve">Reproducibility.</w:t>
      </w:r>
      <w:r>
        <w:t xml:space="preserve"> Each render records its script version, seed and inputs in the file metadata.</w:t>
      </w:r>
    </w:p>
    <w:p>
      <w:pPr>
        <w:pStyle w:val="Heading2"/>
      </w:pPr>
      <w:r>
        <w:t xml:space="preserve">11. Do and don't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Do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Don't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Make tone with screens, dither or hatching</w:t>
            </w:r>
          </w:p>
        </w:tc>
        <w:tc>
          <w:tcPr>
            <w:tcW w:w="4920" w:type="dxa"/>
          </w:tcPr>
          <w:p>
            <w:pPr/>
            <w:r>
              <w:t xml:space="preserve">Use smooth gradients or transparency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Separate series by dash pattern and marker shape</w:t>
            </w:r>
          </w:p>
        </w:tc>
        <w:tc>
          <w:tcPr>
            <w:tcW w:w="4920" w:type="dxa"/>
          </w:tcPr>
          <w:p>
            <w:pPr/>
            <w:r>
              <w:t xml:space="preserve">Separate series by colour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Seed every random defect</w:t>
            </w:r>
          </w:p>
        </w:tc>
        <w:tc>
          <w:tcPr>
            <w:tcW w:w="4920" w:type="dxa"/>
          </w:tcPr>
          <w:p>
            <w:pPr/>
            <w:r>
              <w:t xml:space="preserve">Let a re-render change the defects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Keep defects out of digits and signs</w:t>
            </w:r>
          </w:p>
        </w:tc>
        <w:tc>
          <w:tcPr>
            <w:tcW w:w="4920" w:type="dxa"/>
          </w:tcPr>
          <w:p>
            <w:pPr/>
            <w:r>
              <w:t xml:space="preserve">Let banding or dropout break a number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Let one engine distress the type</w:t>
            </w:r>
          </w:p>
        </w:tc>
        <w:tc>
          <w:tcPr>
            <w:tcW w:w="4920" w:type="dxa"/>
          </w:tcPr>
          <w:p>
            <w:pPr/>
            <w:r>
              <w:t xml:space="preserve">Run Rubik Dirt through the laser or dot-matrix model as well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Number every figure and cross-reference its comparison</w:t>
            </w:r>
          </w:p>
        </w:tc>
        <w:tc>
          <w:tcPr>
            <w:tcW w:w="4920" w:type="dxa"/>
          </w:tcPr>
          <w:p>
            <w:pPr/>
            <w:r>
              <w:t xml:space="preserve">Publish an unnumbered or orphaned plate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Animate as printing and re-striking</w:t>
            </w:r>
          </w:p>
        </w:tc>
        <w:tc>
          <w:tcPr>
            <w:tcW w:w="4920" w:type="dxa"/>
          </w:tcPr>
          <w:p>
            <w:pPr/>
            <w:r>
              <w:t xml:space="preserve">Cross-fade, zoom, pan or blur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Draw illustrations as line work</w:t>
            </w:r>
          </w:p>
        </w:tc>
        <w:tc>
          <w:tcPr>
            <w:tcW w:w="4920" w:type="dxa"/>
          </w:tcPr>
          <w:p>
            <w:pPr/>
            <w:r>
              <w:t xml:space="preserve">Paste photographs without screening them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Evoke the references' registers</w:t>
            </w:r>
          </w:p>
        </w:tc>
        <w:tc>
          <w:tcPr>
            <w:tcW w:w="4920" w:type="dxa"/>
          </w:tcPr>
          <w:p>
            <w:pPr/>
            <w:r>
              <w:t xml:space="preserve">Reproduce a real manufacturer's logo, document number or trade dress</w:t>
            </w:r>
          </w:p>
        </w:tc>
      </w:tr>
    </w:tbl>
    <w:p>
      <w:pPr/>
      <w:r>
        <w:t xml:space="preserve">Each row should gain a pair of example images, correct and incorrect, rendered from the reference scripts.</w:t>
      </w:r>
    </w:p>
    <w:p>
      <w:pPr>
        <w:pStyle w:val="Heading2"/>
      </w:pPr>
      <w:r>
        <w:t xml:space="preserve">12. Governance and open questions</w:t>
      </w:r>
    </w:p>
    <w:p>
      <w:pPr/>
      <w:r>
        <w:t xml:space="preserve">The system is versioned semantically: a new token or component is a minor version, and a change to an existing token's value or meaning is a major version. Changes are recorded in a changelog, newest first.</w:t>
      </w:r>
    </w:p>
    <w:p>
      <w:pPr/>
      <w:r>
        <w:rPr>
          <w:b/>
        </w:rPr>
        <w:t xml:space="preserve">Admission of a new engine or component</w:t>
      </w:r>
      <w:r>
        <w:t xml:space="preserve"> requires a reference script, a seeded example render, its token entries and a do-and-don't pair.</w:t>
      </w:r>
    </w:p>
    <w:p>
      <w:pPr/>
      <w:r>
        <w:rPr>
          <w:b/>
        </w:rPr>
        <w:t xml:space="preserve">Open questions</w:t>
      </w:r>
    </w:p>
    <w:p>
      <w:pPr>
        <w:pStyle w:val="ListParagraph"/>
        <w:numPr>
          <w:ilvl w:val="0"/>
          <w:numId w:val="12"/>
        </w:numPr>
      </w:pPr>
      <w:r>
        <w:t xml:space="preserve">☐ Should Outfit be assigned (e.g. as </w:t>
      </w:r>
      <w:r>
        <w:rPr>
          <w:rStyle w:val="CodeChar"/>
        </w:rPr>
        <w:t xml:space="preserve">--sw-font-ui</w:t>
      </w:r>
      <w:r>
        <w:t xml:space="preserve"> for dense captions), or removed from the import?</w:t>
      </w:r>
    </w:p>
    <w:p>
      <w:pPr>
        <w:pStyle w:val="ListParagraph"/>
        <w:numPr>
          <w:ilvl w:val="0"/>
          <w:numId w:val="12"/>
        </w:numPr>
      </w:pPr>
      <w:r>
        <w:t xml:space="preserve">☐ Is Special Elite acceptable for long body copy, or should long passages fall back to a quieter face?</w:t>
      </w:r>
    </w:p>
    <w:p>
      <w:pPr>
        <w:pStyle w:val="ListParagraph"/>
        <w:numPr>
          <w:ilvl w:val="0"/>
          <w:numId w:val="12"/>
        </w:numPr>
      </w:pPr>
      <w:r>
        <w:t xml:space="preserve">☐ Should quotes use Orbitron, whose wide capitals suit titles more than sentences?</w:t>
      </w:r>
    </w:p>
    <w:p>
      <w:pPr>
        <w:pStyle w:val="ListParagraph"/>
        <w:numPr>
          <w:ilvl w:val="0"/>
          <w:numId w:val="12"/>
        </w:numPr>
      </w:pPr>
      <w:r>
        <w:t xml:space="preserve">☐ Is a single copper spot colour admitted for paper-circuit traces (principle 2)?</w:t>
      </w:r>
    </w:p>
    <w:p>
      <w:pPr>
        <w:pStyle w:val="ListParagraph"/>
        <w:numPr>
          <w:ilvl w:val="0"/>
          <w:numId w:val="12"/>
        </w:numPr>
      </w:pPr>
      <w:r>
        <w:t xml:space="preserve">☐ How are copper tape and graphite rendered: as a new engine, or as an overlay on existing pages?</w:t>
      </w:r>
    </w:p>
    <w:p>
      <w:pPr>
        <w:pStyle w:val="ListParagraph"/>
        <w:numPr>
          <w:ilvl w:val="0"/>
          <w:numId w:val="12"/>
        </w:numPr>
      </w:pPr>
      <w:r>
        <w:t xml:space="preserve">☐ Does the system extend to web pages as live, interactive "paper", and if so, which motion rules apply?</w:t>
      </w:r>
    </w:p>
    <w:p>
      <w:pPr>
        <w:pStyle w:val="ListParagraph"/>
        <w:numPr>
          <w:ilvl w:val="0"/>
          <w:numId w:val="12"/>
        </w:numPr>
      </w:pPr>
      <w:r>
        <w:t xml:space="preserve">☐ Should the Z4 typewriter register become its own engine and substrate?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digital-paper — Design Language System</dc:title>
  <dc:description>Claude Docs node/c4d711f4-445b@13 docx-w7</dc:description>
  <cp:revision>13</cp:revision>
</cp:coreProperties>
</file>