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595959"/>
          <w:sz w:val="22"/>
          <w:szCs w:val="22"/>
        </w:rPr>
        <w:t xml:space="preserve">CONSULTING ENGAGEMENT REPORT</w:t>
      </w:r>
    </w:p>
    <w:p>
      <w:pPr>
        <w:spacing w:after="120"/>
      </w:pPr>
      <w:r>
        <w:rPr>
          <w:b/>
          <w:bCs/>
          <w:color w:val="1F4E79"/>
          <w:sz w:val="48"/>
          <w:szCs w:val="48"/>
        </w:rPr>
        <w:t xml:space="preserve">Retail Profitability &amp; Performance Optimization</w:t>
      </w:r>
    </w:p>
    <w:p>
      <w:pPr>
        <w:spacing w:after="400"/>
      </w:pPr>
      <w:r>
        <w:rPr>
          <w:i/>
          <w:iCs/>
          <w:color w:val="595959"/>
          <w:sz w:val="28"/>
          <w:szCs w:val="28"/>
        </w:rPr>
        <w:t xml:space="preserve">A Business Analytics Transformation Engagement for ApexMart Retail Ltd.</w:t>
      </w:r>
    </w:p>
    <w:p>
      <w:pPr>
        <w:spacing w:after="160"/>
      </w:pPr>
      <w:r>
        <w:t xml:space="preserve">Client: ApexMart Retail Ltd.  |  Industry: Retail &amp; Consumer Goods  |  Market: Nigeria</w:t>
      </w:r>
    </w:p>
    <w:p>
      <w:pPr>
        <w:spacing w:after="160"/>
      </w:pPr>
      <w:r>
        <w:t xml:space="preserve">Prepared by: Business Analytics Consulting Team</w:t>
      </w:r>
    </w:p>
    <w:p>
      <w:pPr>
        <w:spacing w:after="160"/>
      </w:pPr>
      <w:r>
        <w:t xml:space="preserve">Engagement Type: Business Analytics, Data Reconciliation &amp; Executive Reporting Transformation</w:t>
      </w:r>
    </w:p>
    <w:p>
      <w:pPr>
        <w:spacing w:after="160"/>
      </w:pPr>
      <w:r>
        <w:rPr>
          <w:i/>
          <w:iCs/>
          <w:color w:val="595959"/>
          <w:sz w:val="18"/>
          <w:szCs w:val="18"/>
        </w:rPr>
        <w:t xml:space="preserve">Note: ApexMart Retail Ltd. is a fictional company created for this portfolio engagement. All financial figures are drawn from a synthetic, seeded dataset built for this project and are clearly labeled as simulated wherever quoted.</w:t>
      </w:r>
    </w:p>
    <w:p>
      <w:r>
        <w:br w:type="page"/>
      </w:r>
    </w:p>
    <w:p>
      <w:pPr>
        <w:spacing w:after="120"/>
      </w:pPr>
      <w:r>
        <w:rPr>
          <w:b/>
          <w:bCs/>
          <w:color w:val="1F4E79"/>
          <w:sz w:val="32"/>
          <w:szCs w:val="32"/>
        </w:rPr>
        <w:t xml:space="preserve">Section 1 — Consulting Engagement Overview</w:t>
      </w:r>
    </w:p>
    <w:p>
      <w:pPr>
        <w:pStyle w:val="Heading1"/>
        <w:spacing w:after="150" w:before="320"/>
      </w:pPr>
      <w:r>
        <w:t xml:space="preserve">1.1 Executive Summary</w:t>
      </w:r>
    </w:p>
    <w:p>
      <w:pPr>
        <w:spacing w:after="160"/>
      </w:pPr>
      <w:r>
        <w:t xml:space="preserve">ApexMart Retail Ltd. is a fast-growing Nigerian retailer operating 20 branches across five regions, selling groceries, electronics, household goods, fashion, and personal care products. Despite strong topline growth, ApexMart's leadership engaged our team to investigate a persistent and worsening gap between revenue growth and profit growth, alongside fragmented store-level visibility that was slowing executive decision-making.</w:t>
      </w:r>
    </w:p>
    <w:p>
      <w:pPr>
        <w:spacing w:after="160"/>
      </w:pPr>
      <w:r>
        <w:t xml:space="preserve">Our analysis of two years of transaction data (44,882 reconciled transactions across ~ NGN 1.01 billion in revenue) confirms the leadership team's concern: gross margin declined from 23.2% in the first quarter analyzed to 20.1% in the most recent quarter — a 3.2-percentage-point erosion concentrated in heavily discounted categories and a small number of high-revenue branches. We also identified data-quality gaps that, left unaddressed, would have caused this and any future analysis to misstate revenue and profit.</w:t>
      </w:r>
    </w:p>
    <w:p>
      <w:pPr>
        <w:spacing w:after="160"/>
      </w:pPr>
      <w:r>
        <w:t xml:space="preserve">This report sets out our findings, root causes, and a prioritized set of recommendations, together with an implementation roadmap and simulated business impact designed to recover profitability without sacrificing the revenue growth ApexMart has built.</w:t>
      </w:r>
    </w:p>
    <w:p>
      <w:pPr>
        <w:pStyle w:val="Heading1"/>
        <w:spacing w:after="150" w:before="320"/>
      </w:pPr>
      <w:r>
        <w:t xml:space="preserve">1.2 Client Background</w:t>
      </w:r>
    </w:p>
    <w:p>
      <w:pPr>
        <w:spacing w:after="160"/>
      </w:pPr>
      <w:r>
        <w:t xml:space="preserve">Founded to serve Nigeria's expanding middle-class consumer base, ApexMart has grown from a small chain into a 20-branch network spanning Lagos, the South-West, South-South, North-Central, and South-East regions. Store formats range from Small neighborhood outlets to Flagship superstores. Growth has been driven primarily by branch expansion and aggressive seasonal promotion, rather than same-store profitability improvement.</w:t>
      </w:r>
    </w:p>
    <w:p>
      <w:pPr>
        <w:pStyle w:val="Heading1"/>
        <w:spacing w:after="150" w:before="320"/>
      </w:pPr>
      <w:r>
        <w:t xml:space="preserve">1.3 Industry Context</w:t>
      </w:r>
    </w:p>
    <w:p>
      <w:pPr>
        <w:spacing w:after="160"/>
      </w:pPr>
      <w:r>
        <w:t xml:space="preserve">Nigerian retail is characterized by thin average margins, high price sensitivity, currency-driven cost volatility, and a fragmented supplier base. Retailers that compete primarily on price and promotional intensity are especially exposed to margin erosion if discounting is not actively governed — a dynamic borne out directly in ApexMart's own data (Section 3).</w:t>
      </w:r>
    </w:p>
    <w:p>
      <w:pPr>
        <w:pStyle w:val="Heading1"/>
        <w:spacing w:after="150" w:before="320"/>
      </w:pPr>
      <w:r>
        <w:t xml:space="preserve">1.4 Business Situation</w:t>
      </w:r>
    </w:p>
    <w:p>
      <w:pPr>
        <w:pStyle w:val="ListParagraph"/>
        <w:numPr>
          <w:ilvl w:val="0"/>
          <w:numId w:val="1"/>
        </w:numPr>
        <w:spacing w:after="80"/>
      </w:pPr>
      <w:r>
        <w:t xml:space="preserve">Revenue has grown steadily, but profit has not kept pace, and gross margin is trending down quarter over quarter.</w:t>
      </w:r>
    </w:p>
    <w:p>
      <w:pPr>
        <w:pStyle w:val="ListParagraph"/>
        <w:numPr>
          <w:ilvl w:val="0"/>
          <w:numId w:val="1"/>
        </w:numPr>
        <w:spacing w:after="80"/>
      </w:pPr>
      <w:r>
        <w:t xml:space="preserve">Store-level performance is not consistently visible to head office; branch managers and regional leads work from disconnected spreadsheets.</w:t>
      </w:r>
    </w:p>
    <w:p>
      <w:pPr>
        <w:pStyle w:val="ListParagraph"/>
        <w:numPr>
          <w:ilvl w:val="0"/>
          <w:numId w:val="1"/>
        </w:numPr>
        <w:spacing w:after="80"/>
      </w:pPr>
      <w:r>
        <w:t xml:space="preserve">Inventory is unevenly distributed — some product-store combinations are overstocked while others sit at or below reorder thresholds.</w:t>
      </w:r>
    </w:p>
    <w:p>
      <w:pPr>
        <w:pStyle w:val="ListParagraph"/>
        <w:numPr>
          <w:ilvl w:val="0"/>
          <w:numId w:val="1"/>
        </w:numPr>
        <w:spacing w:after="80"/>
      </w:pPr>
      <w:r>
        <w:t xml:space="preserve">Customer retention appears uneven across signup cohorts, and there is no systematic view of customer lifetime value.</w:t>
      </w:r>
    </w:p>
    <w:p>
      <w:pPr>
        <w:pStyle w:val="ListParagraph"/>
        <w:numPr>
          <w:ilvl w:val="0"/>
          <w:numId w:val="1"/>
        </w:numPr>
        <w:spacing w:after="80"/>
      </w:pPr>
      <w:r>
        <w:t xml:space="preserve">Marketing campaign performance cannot currently be tied back to point-of-sale transactions, limiting true ROI measurement.</w:t>
      </w:r>
    </w:p>
    <w:p>
      <w:pPr>
        <w:pStyle w:val="ListParagraph"/>
        <w:numPr>
          <w:ilvl w:val="0"/>
          <w:numId w:val="1"/>
        </w:numPr>
        <w:spacing w:after="80"/>
      </w:pPr>
      <w:r>
        <w:t xml:space="preserve">Underlying transactional data contains quality issues (duplicates, unmapped references, revenue mismatches) that were actively distorting any analysis performed on raw exports.</w:t>
      </w:r>
    </w:p>
    <w:p>
      <w:pPr>
        <w:pStyle w:val="Heading1"/>
        <w:spacing w:after="150" w:before="320"/>
      </w:pPr>
      <w:r>
        <w:t xml:space="preserve">1.5 Consulting Objectives</w:t>
      </w:r>
    </w:p>
    <w:p>
      <w:pPr>
        <w:pStyle w:val="ListParagraph"/>
        <w:numPr>
          <w:ilvl w:val="0"/>
          <w:numId w:val="2"/>
        </w:numPr>
        <w:spacing w:after="80"/>
      </w:pPr>
      <w:r>
        <w:t xml:space="preserve">Diagnose the root causes of margin erosion and quantify the profitability opportunity available from addressing them.</w:t>
      </w:r>
    </w:p>
    <w:p>
      <w:pPr>
        <w:pStyle w:val="ListParagraph"/>
        <w:numPr>
          <w:ilvl w:val="0"/>
          <w:numId w:val="2"/>
        </w:numPr>
        <w:spacing w:after="80"/>
      </w:pPr>
      <w:r>
        <w:t xml:space="preserve">Recover and reconcile unreliable transactional data to establish a trustworthy analytics foundation.</w:t>
      </w:r>
    </w:p>
    <w:p>
      <w:pPr>
        <w:pStyle w:val="ListParagraph"/>
        <w:numPr>
          <w:ilvl w:val="0"/>
          <w:numId w:val="2"/>
        </w:numPr>
        <w:spacing w:after="80"/>
      </w:pPr>
      <w:r>
        <w:t xml:space="preserve">Design an enterprise-grade data architecture and reporting layer to replace fragmented, manual reporting.</w:t>
      </w:r>
    </w:p>
    <w:p>
      <w:pPr>
        <w:pStyle w:val="ListParagraph"/>
        <w:numPr>
          <w:ilvl w:val="0"/>
          <w:numId w:val="2"/>
        </w:numPr>
        <w:spacing w:after="80"/>
      </w:pPr>
      <w:r>
        <w:t xml:space="preserve">Deliver executive and operational dashboards that give leadership real-time visibility into sales, profitability, customers, stores, and inventory.</w:t>
      </w:r>
    </w:p>
    <w:p>
      <w:pPr>
        <w:pStyle w:val="ListParagraph"/>
        <w:numPr>
          <w:ilvl w:val="0"/>
          <w:numId w:val="2"/>
        </w:numPr>
        <w:spacing w:after="80"/>
      </w:pPr>
      <w:r>
        <w:t xml:space="preserve">Recommend specific, actionable strategies to improve profitability, customer retention, and inventory efficiency.</w:t>
      </w:r>
    </w:p>
    <w:p>
      <w:pPr>
        <w:pStyle w:val="Heading1"/>
        <w:spacing w:after="150" w:before="320"/>
      </w:pPr>
      <w:r>
        <w:t xml:space="preserve">1.6 Project Scope</w:t>
      </w:r>
    </w:p>
    <w:p>
      <w:pPr>
        <w:spacing w:after="160"/>
      </w:pPr>
      <w:r>
        <w:t xml:space="preserve">The engagement covers data architecture and reconciliation, SQL-based analytics, Python-based exploratory and statistical analysis, Power BI dashboard design, and an executive consulting report and presentation. It draws on eight core datasets: sales transactions, customers, products, stores, inventory, marketing campaigns, returns, and suppliers, spanning January 2024 to December 2025.</w:t>
      </w:r>
    </w:p>
    <w:p>
      <w:pPr>
        <w:pStyle w:val="Heading1"/>
        <w:spacing w:after="150" w:before="320"/>
      </w:pPr>
      <w:r>
        <w:t xml:space="preserve">1.7 Expected Business Outcomes</w:t>
      </w:r>
    </w:p>
    <w:p>
      <w:pPr>
        <w:pStyle w:val="ListParagraph"/>
        <w:numPr>
          <w:ilvl w:val="0"/>
          <w:numId w:val="1"/>
        </w:numPr>
        <w:spacing w:after="80"/>
      </w:pPr>
      <w:r>
        <w:t xml:space="preserve">A reconciled, trustworthy data foundation for all future reporting.</w:t>
      </w:r>
    </w:p>
    <w:p>
      <w:pPr>
        <w:pStyle w:val="ListParagraph"/>
        <w:numPr>
          <w:ilvl w:val="0"/>
          <w:numId w:val="1"/>
        </w:numPr>
        <w:spacing w:after="80"/>
      </w:pPr>
      <w:r>
        <w:t xml:space="preserve">A quantified, prioritized set of profitability-recovery actions.</w:t>
      </w:r>
    </w:p>
    <w:p>
      <w:pPr>
        <w:pStyle w:val="ListParagraph"/>
        <w:numPr>
          <w:ilvl w:val="0"/>
          <w:numId w:val="1"/>
        </w:numPr>
        <w:spacing w:after="80"/>
      </w:pPr>
      <w:r>
        <w:t xml:space="preserve">Executive and operational dashboards enabling faster, better-informed decisions.</w:t>
      </w:r>
    </w:p>
    <w:p>
      <w:pPr>
        <w:pStyle w:val="ListParagraph"/>
        <w:numPr>
          <w:ilvl w:val="0"/>
          <w:numId w:val="1"/>
        </w:numPr>
        <w:spacing w:after="80"/>
      </w:pPr>
      <w:r>
        <w:t xml:space="preserve">A repeatable analytics and reporting framework ApexMart's internal team can maintain going forward.</w:t>
      </w:r>
    </w:p>
    <w:p>
      <w:r>
        <w:br w:type="page"/>
      </w:r>
    </w:p>
    <w:p>
      <w:pPr>
        <w:spacing w:after="120"/>
      </w:pPr>
      <w:r>
        <w:rPr>
          <w:b/>
          <w:bCs/>
          <w:color w:val="1F4E79"/>
          <w:sz w:val="32"/>
          <w:szCs w:val="32"/>
        </w:rPr>
        <w:t xml:space="preserve">Section 2 — Business Problem Analysis</w:t>
      </w:r>
    </w:p>
    <w:p>
      <w:pPr>
        <w:pStyle w:val="Heading1"/>
        <w:spacing w:after="150" w:before="320"/>
      </w:pPr>
      <w:r>
        <w:t xml:space="preserve">2.1 Revenue and Profitability Problems</w:t>
      </w:r>
    </w:p>
    <w:p>
      <w:pPr>
        <w:pStyle w:val="Heading2"/>
        <w:spacing w:after="110" w:before="220"/>
      </w:pPr>
      <w:r>
        <w:t xml:space="preserve">Finding</w:t>
      </w:r>
    </w:p>
    <w:p>
      <w:pPr>
        <w:spacing w:after="160"/>
      </w:pPr>
      <w:r>
        <w:t xml:space="preserve">Gross margin fell from 23.2% to 20.1% over the analysis window even as monthly revenue grew, with the decline concentrated in Electronics and Fashion and in transactions discounted above 15%.</w:t>
      </w:r>
    </w:p>
    <w:p>
      <w:pPr>
        <w:pStyle w:val="Heading2"/>
        <w:spacing w:after="110" w:before="220"/>
      </w:pPr>
      <w:r>
        <w:t xml:space="preserve">Business Impact</w:t>
      </w:r>
    </w:p>
    <w:p>
      <w:pPr>
        <w:spacing w:after="160"/>
      </w:pPr>
      <w:r>
        <w:t xml:space="preserve">At current revenue levels, a 3.2-point margin gap represents an estimated NGN 16.2 million in annual profit left on the table (see Section 7 — Simulated Business Impact).</w:t>
      </w:r>
    </w:p>
    <w:p>
      <w:pPr>
        <w:pStyle w:val="Heading2"/>
        <w:spacing w:after="110" w:before="220"/>
      </w:pPr>
      <w:r>
        <w:t xml:space="preserve">Why Management Cares</w:t>
      </w:r>
    </w:p>
    <w:p>
      <w:pPr>
        <w:spacing w:after="160"/>
      </w:pPr>
      <w:r>
        <w:t xml:space="preserve">Revenue growth without margin discipline erodes the cash available for reinvestment in new stores, working capital, and shareholder returns — the classic 'growing broke' trap for expanding retailers.</w:t>
      </w:r>
    </w:p>
    <w:p>
      <w:pPr>
        <w:pStyle w:val="Heading2"/>
        <w:spacing w:after="110" w:before="220"/>
      </w:pPr>
      <w:r>
        <w:t xml:space="preserve">How Analytics Solves It</w:t>
      </w:r>
    </w:p>
    <w:p>
      <w:pPr>
        <w:spacing w:after="160"/>
      </w:pPr>
      <w:r>
        <w:t xml:space="preserve">Transaction-level margin analysis (Notebook 7) isolates exactly which discount bands, categories, and branches are driving the erosion, turning a vague concern into a specific, actionable governance policy (Section 5, Recommendation R1).</w:t>
      </w:r>
    </w:p>
    <w:p>
      <w:pPr>
        <w:pStyle w:val="Heading1"/>
        <w:spacing w:after="150" w:before="320"/>
      </w:pPr>
      <w:r>
        <w:t xml:space="preserve">2.2 Operational Inefficiencies</w:t>
      </w:r>
    </w:p>
    <w:p>
      <w:pPr>
        <w:spacing w:after="160"/>
      </w:pPr>
      <w:r>
        <w:t xml:space="preserve">Revenue-per-employee varies by more than 4x across branches of similar size (Notebook 6), indicating inconsistent operating discipline rather than purely a demand difference. Left unaddressed, this masks which branches genuinely need investment versus which need operational coaching.</w:t>
      </w:r>
    </w:p>
    <w:p>
      <w:pPr>
        <w:pStyle w:val="Heading1"/>
        <w:spacing w:after="150" w:before="320"/>
      </w:pPr>
      <w:r>
        <w:t xml:space="preserve">2.3 Inventory Challenges</w:t>
      </w:r>
    </w:p>
    <w:p>
      <w:pPr>
        <w:spacing w:after="160"/>
      </w:pPr>
      <w:r>
        <w:t xml:space="preserve">Roughly 10% of product-store inventory records are overstocked (over 2x reorder level) while 35% sit at or below reorder level — simultaneous overstock and stockout risk that ties up working capital in the wrong places and creates lost-sale risk in others. Analytics-driven replenishment planning (Section 9-D) directly addresses this.</w:t>
      </w:r>
    </w:p>
    <w:p>
      <w:pPr>
        <w:pStyle w:val="Heading1"/>
        <w:spacing w:after="150" w:before="320"/>
      </w:pPr>
      <w:r>
        <w:t xml:space="preserve">2.4 Customer Behaviour Challenges</w:t>
      </w:r>
    </w:p>
    <w:p>
      <w:pPr>
        <w:spacing w:after="160"/>
      </w:pPr>
      <w:r>
        <w:t xml:space="preserve">The top 5% of customers by lifetime value contribute a disproportionate share of total revenue, yet ApexMart has no structured retention program targeting this segment specifically, and retention rates vary across signup cohorts without a clear underlying explanation from the business side. This is a high-leverage, currently unmanaged risk.</w:t>
      </w:r>
    </w:p>
    <w:p>
      <w:pPr>
        <w:pStyle w:val="Heading1"/>
        <w:spacing w:after="150" w:before="320"/>
      </w:pPr>
      <w:r>
        <w:t xml:space="preserve">2.5 Reporting Problems</w:t>
      </w:r>
    </w:p>
    <w:p>
      <w:pPr>
        <w:spacing w:after="160"/>
      </w:pPr>
      <w:r>
        <w:t xml:space="preserve">Store, sales, inventory, and marketing data currently live in disconnected systems and spreadsheets. Branch managers cannot see how they compare to peers; head office cannot see real-time profitability by category or store. This engagement's Power BI dashboard suite (Section 10) directly replaces that fragmentation.</w:t>
      </w:r>
    </w:p>
    <w:p>
      <w:pPr>
        <w:pStyle w:val="Heading1"/>
        <w:spacing w:after="150" w:before="320"/>
      </w:pPr>
      <w:r>
        <w:t xml:space="preserve">2.6 Data Quality Issues</w:t>
      </w:r>
    </w:p>
    <w:p>
      <w:pPr>
        <w:spacing w:after="160"/>
      </w:pPr>
      <w:r>
        <w:t xml:space="preserve">Duplicate transactions, unmapped customer/store/product references, revenue mismatches, and missing payment records were all identified in the raw data (full detail in 05_Reports/Data_Quality_Assessment_Report.docx). Without reconciliation, every KPI built on top of this data — including the very numbers in this report — would be unreliable.</w:t>
      </w:r>
    </w:p>
    <w:p>
      <w:r>
        <w:br w:type="page"/>
      </w:r>
    </w:p>
    <w:p>
      <w:pPr>
        <w:spacing w:after="120"/>
      </w:pPr>
      <w:r>
        <w:rPr>
          <w:b/>
          <w:bCs/>
          <w:color w:val="1F4E79"/>
          <w:sz w:val="32"/>
          <w:szCs w:val="32"/>
        </w:rPr>
        <w:t xml:space="preserve">Section 3 — Key Business Findings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400"/>
        <w:gridCol w:w="2600"/>
        <w:gridCol w:w="2000"/>
      </w:tblGrid>
      <w:tr>
        <w:tc>
          <w:tcPr>
            <w:tcW w:type="dxa" w:w="5400"/>
            <w:shd w:fill="1F4E79" w:color="auto" w:val="clear"/>
          </w:tcPr>
          <w:p>
            <w:r>
              <w:rPr>
                <w:b/>
                <w:bCs/>
                <w:color w:val="FFFFFF"/>
                <w:sz w:val="19"/>
                <w:szCs w:val="19"/>
              </w:rPr>
              <w:t xml:space="preserve">Metric</w:t>
            </w:r>
          </w:p>
        </w:tc>
        <w:tc>
          <w:tcPr>
            <w:tcW w:type="dxa" w:w="2600"/>
            <w:shd w:fill="1F4E79" w:color="auto" w:val="clear"/>
          </w:tcPr>
          <w:p>
            <w:r>
              <w:rPr>
                <w:b/>
                <w:bCs/>
                <w:color w:val="FFFFFF"/>
                <w:sz w:val="19"/>
                <w:szCs w:val="19"/>
              </w:rPr>
              <w:t xml:space="preserve">Value</w:t>
            </w:r>
          </w:p>
        </w:tc>
        <w:tc>
          <w:tcPr>
            <w:tcW w:type="dxa" w:w="2000"/>
            <w:shd w:fill="1F4E79" w:color="auto" w:val="clear"/>
          </w:tcPr>
          <w:p>
            <w:r>
              <w:rPr>
                <w:b/>
                <w:bCs/>
                <w:color w:val="FFFFFF"/>
                <w:sz w:val="19"/>
                <w:szCs w:val="19"/>
              </w:rPr>
              <w:t xml:space="preserve">Source</w:t>
            </w:r>
          </w:p>
        </w:tc>
      </w:tr>
      <w:tr>
        <w:tc>
          <w:tcPr>
            <w:tcW w:type="dxa" w:w="5400"/>
          </w:tcPr>
          <w:p>
            <w:r>
              <w:rPr>
                <w:b w:val="false"/>
                <w:bCs w:val="false"/>
                <w:color w:val="000000"/>
                <w:sz w:val="19"/>
                <w:szCs w:val="19"/>
              </w:rPr>
              <w:t xml:space="preserve">Total revenue analyzed (24 months, reconciled)</w:t>
            </w:r>
          </w:p>
        </w:tc>
        <w:tc>
          <w:tcPr>
            <w:tcW w:type="dxa" w:w="2600"/>
          </w:tcPr>
          <w:p>
            <w:r>
              <w:rPr>
                <w:b w:val="false"/>
                <w:bCs w:val="false"/>
                <w:color w:val="000000"/>
                <w:sz w:val="19"/>
                <w:szCs w:val="19"/>
              </w:rPr>
              <w:t xml:space="preserve">NGN 1,011,488,365</w:t>
            </w:r>
          </w:p>
        </w:tc>
        <w:tc>
          <w:tcPr>
            <w:tcW w:type="dxa" w:w="2000"/>
          </w:tcPr>
          <w:p>
            <w:r>
              <w:rPr>
                <w:b w:val="false"/>
                <w:bCs w:val="false"/>
                <w:color w:val="000000"/>
                <w:sz w:val="19"/>
                <w:szCs w:val="19"/>
              </w:rPr>
              <w:t xml:space="preserve">Notebook 3</w:t>
            </w:r>
          </w:p>
        </w:tc>
      </w:tr>
      <w:tr>
        <w:tc>
          <w:tcPr>
            <w:tcW w:type="dxa" w:w="5400"/>
          </w:tcPr>
          <w:p>
            <w:r>
              <w:rPr>
                <w:b w:val="false"/>
                <w:bCs w:val="false"/>
                <w:color w:val="000000"/>
                <w:sz w:val="19"/>
                <w:szCs w:val="19"/>
              </w:rPr>
              <w:t xml:space="preserve">Total profit (24 months, reconciled)</w:t>
            </w:r>
          </w:p>
        </w:tc>
        <w:tc>
          <w:tcPr>
            <w:tcW w:type="dxa" w:w="2600"/>
          </w:tcPr>
          <w:p>
            <w:r>
              <w:rPr>
                <w:b w:val="false"/>
                <w:bCs w:val="false"/>
                <w:color w:val="000000"/>
                <w:sz w:val="19"/>
                <w:szCs w:val="19"/>
              </w:rPr>
              <w:t xml:space="preserve">NGN 227,168,641</w:t>
            </w:r>
          </w:p>
        </w:tc>
        <w:tc>
          <w:tcPr>
            <w:tcW w:type="dxa" w:w="2000"/>
          </w:tcPr>
          <w:p>
            <w:r>
              <w:rPr>
                <w:b w:val="false"/>
                <w:bCs w:val="false"/>
                <w:color w:val="000000"/>
                <w:sz w:val="19"/>
                <w:szCs w:val="19"/>
              </w:rPr>
              <w:t xml:space="preserve">Notebook 3</w:t>
            </w:r>
          </w:p>
        </w:tc>
      </w:tr>
      <w:tr>
        <w:tc>
          <w:tcPr>
            <w:tcW w:type="dxa" w:w="5400"/>
          </w:tcPr>
          <w:p>
            <w:r>
              <w:rPr>
                <w:b w:val="false"/>
                <w:bCs w:val="false"/>
                <w:color w:val="000000"/>
                <w:sz w:val="19"/>
                <w:szCs w:val="19"/>
              </w:rPr>
              <w:t xml:space="preserve">Overall gross margin</w:t>
            </w:r>
          </w:p>
        </w:tc>
        <w:tc>
          <w:tcPr>
            <w:tcW w:type="dxa" w:w="2600"/>
          </w:tcPr>
          <w:p>
            <w:r>
              <w:rPr>
                <w:b w:val="false"/>
                <w:bCs w:val="false"/>
                <w:color w:val="000000"/>
                <w:sz w:val="19"/>
                <w:szCs w:val="19"/>
              </w:rPr>
              <w:t xml:space="preserve">22.5%</w:t>
            </w:r>
          </w:p>
        </w:tc>
        <w:tc>
          <w:tcPr>
            <w:tcW w:type="dxa" w:w="2000"/>
          </w:tcPr>
          <w:p>
            <w:r>
              <w:rPr>
                <w:b w:val="false"/>
                <w:bCs w:val="false"/>
                <w:color w:val="000000"/>
                <w:sz w:val="19"/>
                <w:szCs w:val="19"/>
              </w:rPr>
              <w:t xml:space="preserve">Notebook 7</w:t>
            </w:r>
          </w:p>
        </w:tc>
      </w:tr>
      <w:tr>
        <w:tc>
          <w:tcPr>
            <w:tcW w:type="dxa" w:w="5400"/>
          </w:tcPr>
          <w:p>
            <w:r>
              <w:rPr>
                <w:b w:val="false"/>
                <w:bCs w:val="false"/>
                <w:color w:val="000000"/>
                <w:sz w:val="19"/>
                <w:szCs w:val="19"/>
              </w:rPr>
              <w:t xml:space="preserve">Margin, first quarter observed</w:t>
            </w:r>
          </w:p>
        </w:tc>
        <w:tc>
          <w:tcPr>
            <w:tcW w:type="dxa" w:w="2600"/>
          </w:tcPr>
          <w:p>
            <w:r>
              <w:rPr>
                <w:b w:val="false"/>
                <w:bCs w:val="false"/>
                <w:color w:val="000000"/>
                <w:sz w:val="19"/>
                <w:szCs w:val="19"/>
              </w:rPr>
              <w:t xml:space="preserve">23.2%</w:t>
            </w:r>
          </w:p>
        </w:tc>
        <w:tc>
          <w:tcPr>
            <w:tcW w:type="dxa" w:w="2000"/>
          </w:tcPr>
          <w:p>
            <w:r>
              <w:rPr>
                <w:b w:val="false"/>
                <w:bCs w:val="false"/>
                <w:color w:val="000000"/>
                <w:sz w:val="19"/>
                <w:szCs w:val="19"/>
              </w:rPr>
              <w:t xml:space="preserve">Notebook 8</w:t>
            </w:r>
          </w:p>
        </w:tc>
      </w:tr>
      <w:tr>
        <w:tc>
          <w:tcPr>
            <w:tcW w:type="dxa" w:w="5400"/>
          </w:tcPr>
          <w:p>
            <w:r>
              <w:rPr>
                <w:b w:val="false"/>
                <w:bCs w:val="false"/>
                <w:color w:val="000000"/>
                <w:sz w:val="19"/>
                <w:szCs w:val="19"/>
              </w:rPr>
              <w:t xml:space="preserve">Margin, most recent quarter observed</w:t>
            </w:r>
          </w:p>
        </w:tc>
        <w:tc>
          <w:tcPr>
            <w:tcW w:type="dxa" w:w="2600"/>
          </w:tcPr>
          <w:p>
            <w:r>
              <w:rPr>
                <w:b w:val="false"/>
                <w:bCs w:val="false"/>
                <w:color w:val="000000"/>
                <w:sz w:val="19"/>
                <w:szCs w:val="19"/>
              </w:rPr>
              <w:t xml:space="preserve">20.1%</w:t>
            </w:r>
          </w:p>
        </w:tc>
        <w:tc>
          <w:tcPr>
            <w:tcW w:type="dxa" w:w="2000"/>
          </w:tcPr>
          <w:p>
            <w:r>
              <w:rPr>
                <w:b w:val="false"/>
                <w:bCs w:val="false"/>
                <w:color w:val="000000"/>
                <w:sz w:val="19"/>
                <w:szCs w:val="19"/>
              </w:rPr>
              <w:t xml:space="preserve">Notebook 8</w:t>
            </w:r>
          </w:p>
        </w:tc>
      </w:tr>
      <w:tr>
        <w:tc>
          <w:tcPr>
            <w:tcW w:type="dxa" w:w="5400"/>
          </w:tcPr>
          <w:p>
            <w:r>
              <w:rPr>
                <w:b w:val="false"/>
                <w:bCs w:val="false"/>
                <w:color w:val="000000"/>
                <w:sz w:val="19"/>
                <w:szCs w:val="19"/>
              </w:rPr>
              <w:t xml:space="preserve">Correlation, discount depth vs. margin</w:t>
            </w:r>
          </w:p>
        </w:tc>
        <w:tc>
          <w:tcPr>
            <w:tcW w:type="dxa" w:w="2600"/>
          </w:tcPr>
          <w:p>
            <w:r>
              <w:rPr>
                <w:b w:val="false"/>
                <w:bCs w:val="false"/>
                <w:color w:val="000000"/>
                <w:sz w:val="19"/>
                <w:szCs w:val="19"/>
              </w:rPr>
              <w:t xml:space="preserve">-0.42</w:t>
            </w:r>
          </w:p>
        </w:tc>
        <w:tc>
          <w:tcPr>
            <w:tcW w:type="dxa" w:w="2000"/>
          </w:tcPr>
          <w:p>
            <w:r>
              <w:rPr>
                <w:b w:val="false"/>
                <w:bCs w:val="false"/>
                <w:color w:val="000000"/>
                <w:sz w:val="19"/>
                <w:szCs w:val="19"/>
              </w:rPr>
              <w:t xml:space="preserve">Notebook 7</w:t>
            </w:r>
          </w:p>
        </w:tc>
      </w:tr>
      <w:tr>
        <w:tc>
          <w:tcPr>
            <w:tcW w:type="dxa" w:w="5400"/>
          </w:tcPr>
          <w:p>
            <w:r>
              <w:rPr>
                <w:b w:val="false"/>
                <w:bCs w:val="false"/>
                <w:color w:val="000000"/>
                <w:sz w:val="19"/>
                <w:szCs w:val="19"/>
              </w:rPr>
              <w:t xml:space="preserve">Revenue share, Electronics category</w:t>
            </w:r>
          </w:p>
        </w:tc>
        <w:tc>
          <w:tcPr>
            <w:tcW w:type="dxa" w:w="2600"/>
          </w:tcPr>
          <w:p>
            <w:r>
              <w:rPr>
                <w:b w:val="false"/>
                <w:bCs w:val="false"/>
                <w:color w:val="000000"/>
                <w:sz w:val="19"/>
                <w:szCs w:val="19"/>
              </w:rPr>
              <w:t xml:space="preserve">52.7%</w:t>
            </w:r>
          </w:p>
        </w:tc>
        <w:tc>
          <w:tcPr>
            <w:tcW w:type="dxa" w:w="2000"/>
          </w:tcPr>
          <w:p>
            <w:r>
              <w:rPr>
                <w:b w:val="false"/>
                <w:bCs w:val="false"/>
                <w:color w:val="000000"/>
                <w:sz w:val="19"/>
                <w:szCs w:val="19"/>
              </w:rPr>
              <w:t xml:space="preserve">Notebook 3</w:t>
            </w:r>
          </w:p>
        </w:tc>
      </w:tr>
      <w:tr>
        <w:tc>
          <w:tcPr>
            <w:tcW w:type="dxa" w:w="5400"/>
          </w:tcPr>
          <w:p>
            <w:r>
              <w:rPr>
                <w:b w:val="false"/>
                <w:bCs w:val="false"/>
                <w:color w:val="000000"/>
                <w:sz w:val="19"/>
                <w:szCs w:val="19"/>
              </w:rPr>
              <w:t xml:space="preserve">Profit share, Electronics category</w:t>
            </w:r>
          </w:p>
        </w:tc>
        <w:tc>
          <w:tcPr>
            <w:tcW w:type="dxa" w:w="2600"/>
          </w:tcPr>
          <w:p>
            <w:r>
              <w:rPr>
                <w:b w:val="false"/>
                <w:bCs w:val="false"/>
                <w:color w:val="000000"/>
                <w:sz w:val="19"/>
                <w:szCs w:val="19"/>
              </w:rPr>
              <w:t xml:space="preserve">56.1%</w:t>
            </w:r>
          </w:p>
        </w:tc>
        <w:tc>
          <w:tcPr>
            <w:tcW w:type="dxa" w:w="2000"/>
          </w:tcPr>
          <w:p>
            <w:r>
              <w:rPr>
                <w:b w:val="false"/>
                <w:bCs w:val="false"/>
                <w:color w:val="000000"/>
                <w:sz w:val="19"/>
                <w:szCs w:val="19"/>
              </w:rPr>
              <w:t xml:space="preserve">Notebook 5</w:t>
            </w:r>
          </w:p>
        </w:tc>
      </w:tr>
      <w:tr>
        <w:tc>
          <w:tcPr>
            <w:tcW w:type="dxa" w:w="5400"/>
          </w:tcPr>
          <w:p>
            <w:r>
              <w:rPr>
                <w:b w:val="false"/>
                <w:bCs w:val="false"/>
                <w:color w:val="000000"/>
                <w:sz w:val="19"/>
                <w:szCs w:val="19"/>
              </w:rPr>
              <w:t xml:space="preserve">Top 5% of customers' share of total revenue</w:t>
            </w:r>
          </w:p>
        </w:tc>
        <w:tc>
          <w:tcPr>
            <w:tcW w:type="dxa" w:w="2600"/>
          </w:tcPr>
          <w:p>
            <w:r>
              <w:rPr>
                <w:b w:val="false"/>
                <w:bCs w:val="false"/>
                <w:color w:val="000000"/>
                <w:sz w:val="19"/>
                <w:szCs w:val="19"/>
              </w:rPr>
              <w:t xml:space="preserve">10.1%</w:t>
            </w:r>
          </w:p>
        </w:tc>
        <w:tc>
          <w:tcPr>
            <w:tcW w:type="dxa" w:w="2000"/>
          </w:tcPr>
          <w:p>
            <w:r>
              <w:rPr>
                <w:b w:val="false"/>
                <w:bCs w:val="false"/>
                <w:color w:val="000000"/>
                <w:sz w:val="19"/>
                <w:szCs w:val="19"/>
              </w:rPr>
              <w:t xml:space="preserve">Notebook 4</w:t>
            </w:r>
          </w:p>
        </w:tc>
      </w:tr>
      <w:tr>
        <w:tc>
          <w:tcPr>
            <w:tcW w:type="dxa" w:w="5400"/>
          </w:tcPr>
          <w:p>
            <w:r>
              <w:rPr>
                <w:b w:val="false"/>
                <w:bCs w:val="false"/>
                <w:color w:val="000000"/>
                <w:sz w:val="19"/>
                <w:szCs w:val="19"/>
              </w:rPr>
              <w:t xml:space="preserve">Inventory value tied up in overstock</w:t>
            </w:r>
          </w:p>
        </w:tc>
        <w:tc>
          <w:tcPr>
            <w:tcW w:type="dxa" w:w="2600"/>
          </w:tcPr>
          <w:p>
            <w:r>
              <w:rPr>
                <w:b w:val="false"/>
                <w:bCs w:val="false"/>
                <w:color w:val="000000"/>
                <w:sz w:val="19"/>
                <w:szCs w:val="19"/>
              </w:rPr>
              <w:t xml:space="preserve">NGN 47,950,312</w:t>
            </w:r>
          </w:p>
        </w:tc>
        <w:tc>
          <w:tcPr>
            <w:tcW w:type="dxa" w:w="2000"/>
          </w:tcPr>
          <w:p>
            <w:r>
              <w:rPr>
                <w:b w:val="false"/>
                <w:bCs w:val="false"/>
                <w:color w:val="000000"/>
                <w:sz w:val="19"/>
                <w:szCs w:val="19"/>
              </w:rPr>
              <w:t xml:space="preserve">Notebook 8</w:t>
            </w:r>
          </w:p>
        </w:tc>
      </w:tr>
      <w:tr>
        <w:tc>
          <w:tcPr>
            <w:tcW w:type="dxa" w:w="5400"/>
          </w:tcPr>
          <w:p>
            <w:r>
              <w:rPr>
                <w:b w:val="false"/>
                <w:bCs w:val="false"/>
                <w:color w:val="000000"/>
                <w:sz w:val="19"/>
                <w:szCs w:val="19"/>
              </w:rPr>
              <w:t xml:space="preserve">Product-store combinations at/below reorder level</w:t>
            </w:r>
          </w:p>
        </w:tc>
        <w:tc>
          <w:tcPr>
            <w:tcW w:type="dxa" w:w="2600"/>
          </w:tcPr>
          <w:p>
            <w:r>
              <w:rPr>
                <w:b w:val="false"/>
                <w:bCs w:val="false"/>
                <w:color w:val="000000"/>
                <w:sz w:val="19"/>
                <w:szCs w:val="19"/>
              </w:rPr>
              <w:t xml:space="preserve">35% (305 of 874)</w:t>
            </w:r>
          </w:p>
        </w:tc>
        <w:tc>
          <w:tcPr>
            <w:tcW w:type="dxa" w:w="2000"/>
          </w:tcPr>
          <w:p>
            <w:r>
              <w:rPr>
                <w:b w:val="false"/>
                <w:bCs w:val="false"/>
                <w:color w:val="000000"/>
                <w:sz w:val="19"/>
                <w:szCs w:val="19"/>
              </w:rPr>
              <w:t xml:space="preserve">Notebook 8</w:t>
            </w:r>
          </w:p>
        </w:tc>
      </w:tr>
      <w:tr>
        <w:tc>
          <w:tcPr>
            <w:tcW w:type="dxa" w:w="5400"/>
          </w:tcPr>
          <w:p>
            <w:r>
              <w:rPr>
                <w:b w:val="false"/>
                <w:bCs w:val="false"/>
                <w:color w:val="000000"/>
                <w:sz w:val="19"/>
                <w:szCs w:val="19"/>
              </w:rPr>
              <w:t xml:space="preserve">Campaigns run with negative ROI</w:t>
            </w:r>
          </w:p>
        </w:tc>
        <w:tc>
          <w:tcPr>
            <w:tcW w:type="dxa" w:w="2600"/>
          </w:tcPr>
          <w:p>
            <w:r>
              <w:rPr>
                <w:b w:val="false"/>
                <w:bCs w:val="false"/>
                <w:color w:val="000000"/>
                <w:sz w:val="19"/>
                <w:szCs w:val="19"/>
              </w:rPr>
              <w:t xml:space="preserve">0 of 12</w:t>
            </w:r>
          </w:p>
        </w:tc>
        <w:tc>
          <w:tcPr>
            <w:tcW w:type="dxa" w:w="2000"/>
          </w:tcPr>
          <w:p>
            <w:r>
              <w:rPr>
                <w:b w:val="false"/>
                <w:bCs w:val="false"/>
                <w:color w:val="000000"/>
                <w:sz w:val="19"/>
                <w:szCs w:val="19"/>
              </w:rPr>
              <w:t xml:space="preserve">02_SQL query F4</w:t>
            </w:r>
          </w:p>
        </w:tc>
      </w:tr>
    </w:tbl>
    <w:p>
      <w:pPr>
        <w:spacing w:after="160"/>
      </w:pPr>
      <w:r>
        <w:t xml:space="preserve"/>
      </w:r>
    </w:p>
    <w:p>
      <w:pPr>
        <w:spacing w:after="160"/>
      </w:pPr>
      <w:r>
        <w:rPr>
          <w:i/>
          <w:iCs/>
          <w:color w:val="595959"/>
          <w:sz w:val="19"/>
          <w:szCs w:val="19"/>
        </w:rPr>
        <w:t xml:space="preserve">Note: while headline campaign ROI is currently positive across all 12 campaigns analyzed, this cannot be independently verified against POS transactions because campaigns are not tagged on individual sales — see Recommendation R5.</w:t>
      </w:r>
    </w:p>
    <w:p>
      <w:r>
        <w:br w:type="page"/>
      </w:r>
    </w:p>
    <w:p>
      <w:pPr>
        <w:spacing w:after="120"/>
      </w:pPr>
      <w:r>
        <w:rPr>
          <w:b/>
          <w:bCs/>
          <w:color w:val="1F4E79"/>
          <w:sz w:val="32"/>
          <w:szCs w:val="32"/>
        </w:rPr>
        <w:t xml:space="preserve">Section 4 — Root Cause Analysis</w:t>
      </w:r>
    </w:p>
    <w:p>
      <w:pPr>
        <w:pStyle w:val="Heading1"/>
        <w:spacing w:after="150" w:before="320"/>
      </w:pPr>
      <w:r>
        <w:t xml:space="preserve">4.1 Margin Erosion</w:t>
      </w:r>
    </w:p>
    <w:p>
      <w:pPr>
        <w:pStyle w:val="ListParagraph"/>
        <w:numPr>
          <w:ilvl w:val="0"/>
          <w:numId w:val="1"/>
        </w:numPr>
        <w:spacing w:after="80"/>
      </w:pPr>
      <w:r>
        <w:t xml:space="preserve">Discount depth is the strongest identifiable driver of lower transaction-level margin (regression coefficient of -90.8 margin points per 100% discount depth, Notebook 7).</w:t>
      </w:r>
    </w:p>
    <w:p>
      <w:pPr>
        <w:pStyle w:val="ListParagraph"/>
        <w:numPr>
          <w:ilvl w:val="0"/>
          <w:numId w:val="1"/>
        </w:numPr>
        <w:spacing w:after="80"/>
      </w:pPr>
      <w:r>
        <w:t xml:space="preserve">Seasonal promotions (notably December) push discount depth up sharply, and there is no approval threshold gating how deep a discount can go before it is applied.</w:t>
      </w:r>
    </w:p>
    <w:p>
      <w:pPr>
        <w:pStyle w:val="ListParagraph"/>
        <w:numPr>
          <w:ilvl w:val="0"/>
          <w:numId w:val="1"/>
        </w:numPr>
        <w:spacing w:after="80"/>
      </w:pPr>
      <w:r>
        <w:t xml:space="preserve">Electronics and Fashion — the categories with the highest average price points — are also discounted most aggressively, compounding the margin impact in naira terms.</w:t>
      </w:r>
    </w:p>
    <w:p>
      <w:pPr>
        <w:pStyle w:val="Heading1"/>
        <w:spacing w:after="150" w:before="320"/>
      </w:pPr>
      <w:r>
        <w:t xml:space="preserve">4.2 Store Performance Variance</w:t>
      </w:r>
    </w:p>
    <w:p>
      <w:pPr>
        <w:pStyle w:val="ListParagraph"/>
        <w:numPr>
          <w:ilvl w:val="0"/>
          <w:numId w:val="1"/>
        </w:numPr>
        <w:spacing w:after="80"/>
      </w:pPr>
      <w:r>
        <w:t xml:space="preserve">At least one high-revenue flagship branch operates at below-average margin, suggesting store-level discount authority is being used more liberally there than elsewhere.</w:t>
      </w:r>
    </w:p>
    <w:p>
      <w:pPr>
        <w:pStyle w:val="ListParagraph"/>
        <w:numPr>
          <w:ilvl w:val="0"/>
          <w:numId w:val="1"/>
        </w:numPr>
        <w:spacing w:after="80"/>
      </w:pPr>
      <w:r>
        <w:t xml:space="preserve">Revenue-per-employee variance suggests staffing/operational-discipline differences rather than purely demand-side factors.</w:t>
      </w:r>
    </w:p>
    <w:p>
      <w:pPr>
        <w:pStyle w:val="Heading1"/>
        <w:spacing w:after="150" w:before="320"/>
      </w:pPr>
      <w:r>
        <w:t xml:space="preserve">4.3 Inventory Imbalance</w:t>
      </w:r>
    </w:p>
    <w:p>
      <w:pPr>
        <w:pStyle w:val="ListParagraph"/>
        <w:numPr>
          <w:ilvl w:val="0"/>
          <w:numId w:val="1"/>
        </w:numPr>
        <w:spacing w:after="80"/>
      </w:pPr>
      <w:r>
        <w:t xml:space="preserve">Replenishment appears to be driven by fixed reorder points rather than actual sales velocity, causing simultaneous overstock in slow-moving SKUs and stockout risk in fast-moving ones.</w:t>
      </w:r>
    </w:p>
    <w:p>
      <w:pPr>
        <w:pStyle w:val="Heading1"/>
        <w:spacing w:after="150" w:before="320"/>
      </w:pPr>
      <w:r>
        <w:t xml:space="preserve">4.4 Reporting Fragmentation</w:t>
      </w:r>
    </w:p>
    <w:p>
      <w:pPr>
        <w:pStyle w:val="ListParagraph"/>
        <w:numPr>
          <w:ilvl w:val="0"/>
          <w:numId w:val="1"/>
        </w:numPr>
        <w:spacing w:after="80"/>
      </w:pPr>
      <w:r>
        <w:t xml:space="preserve">No shared, governed data layer exists across Sales, Inventory, and Marketing systems, forcing manual reconciliation and delaying executive visibility.</w:t>
      </w:r>
    </w:p>
    <w:p>
      <w:r>
        <w:br w:type="page"/>
      </w:r>
    </w:p>
    <w:p>
      <w:pPr>
        <w:spacing w:after="120"/>
      </w:pPr>
      <w:r>
        <w:rPr>
          <w:b/>
          <w:bCs/>
          <w:color w:val="1F4E79"/>
          <w:sz w:val="32"/>
          <w:szCs w:val="32"/>
        </w:rPr>
        <w:t xml:space="preserve">Section 5 — Strategic Recommendations</w:t>
      </w:r>
    </w:p>
    <w:p>
      <w:pPr>
        <w:pStyle w:val="Heading2"/>
        <w:spacing w:after="110" w:before="220"/>
      </w:pPr>
      <w:r>
        <w:t xml:space="preserve">R1 — Introduce Discount-Approval Thresholds</w:t>
      </w:r>
    </w:p>
    <w:p>
      <w:pPr>
        <w:spacing w:after="160"/>
      </w:pPr>
      <w:r>
        <w:t xml:space="preserve">Finding: Branches and categories discounting above ~15-30% see margin compress sharply (Notebook 5, Section 5.4).</w:t>
      </w:r>
    </w:p>
    <w:p>
      <w:pPr>
        <w:spacing w:after="160"/>
      </w:pPr>
      <w:r>
        <w:t xml:space="preserve">Recommendation: Cap standard discounts at 20% without regional-manager sign-off; require explicit approval for deeper promotional discounts, with an auditable log.</w:t>
      </w:r>
    </w:p>
    <w:p>
      <w:pPr>
        <w:spacing w:after="160"/>
      </w:pPr>
      <w:r>
        <w:t xml:space="preserve">Expected Impact: Estimated NGN 16.2 million/year in recovered profit by closing the observed margin gap (Section 7).</w:t>
      </w:r>
    </w:p>
    <w:p>
      <w:pPr>
        <w:pStyle w:val="Heading2"/>
        <w:spacing w:after="110" w:before="220"/>
      </w:pPr>
      <w:r>
        <w:t xml:space="preserve">R2 — Rationalize the Bottom-Margin Product Tail</w:t>
      </w:r>
    </w:p>
    <w:p>
      <w:pPr>
        <w:spacing w:after="160"/>
      </w:pPr>
      <w:r>
        <w:t xml:space="preserve">Finding: A defined set of 15 products carry margins below 17%, well under the category average (Notebook 5, Section 5.3).</w:t>
      </w:r>
    </w:p>
    <w:p>
      <w:pPr>
        <w:spacing w:after="160"/>
      </w:pPr>
      <w:r>
        <w:t xml:space="preserve">Recommendation: Renegotiate supplier cost on these SKUs, reprice where the market supports it, or delist persistent underperformers at the next assortment review.</w:t>
      </w:r>
    </w:p>
    <w:p>
      <w:pPr>
        <w:spacing w:after="160"/>
      </w:pPr>
      <w:r>
        <w:t xml:space="preserve">Expected Impact: Improves category-level margin mix without a proportional loss of revenue.</w:t>
      </w:r>
    </w:p>
    <w:p>
      <w:pPr>
        <w:pStyle w:val="Heading2"/>
        <w:spacing w:after="110" w:before="220"/>
      </w:pPr>
      <w:r>
        <w:t xml:space="preserve">R3 — Rebalance Inventory Across the Network</w:t>
      </w:r>
    </w:p>
    <w:p>
      <w:pPr>
        <w:spacing w:after="160"/>
      </w:pPr>
      <w:r>
        <w:t xml:space="preserve">Finding: ~10% of product-store combinations are overstocked while 35% sit at or below reorder level (Notebook 8).</w:t>
      </w:r>
    </w:p>
    <w:p>
      <w:pPr>
        <w:spacing w:after="160"/>
      </w:pPr>
      <w:r>
        <w:t xml:space="preserve">Recommendation: Move to sales-velocity-based replenishment; redistribute overstocked SKUs across branches before ordering new stock.</w:t>
      </w:r>
    </w:p>
    <w:p>
      <w:pPr>
        <w:spacing w:after="160"/>
      </w:pPr>
      <w:r>
        <w:t xml:space="preserve">Expected Impact: Estimated NGN 8.6 million working-capital release from an 18% reduction in overstock value, plus reduced lost-sale risk from understocked branches.</w:t>
      </w:r>
    </w:p>
    <w:p>
      <w:pPr>
        <w:pStyle w:val="Heading2"/>
        <w:spacing w:after="110" w:before="220"/>
      </w:pPr>
      <w:r>
        <w:t xml:space="preserve">R4 — Standardize Branch Operating Discipline</w:t>
      </w:r>
    </w:p>
    <w:p>
      <w:pPr>
        <w:spacing w:after="160"/>
      </w:pPr>
      <w:r>
        <w:t xml:space="preserve">Finding: Revenue-per-employee varies more than 4x across similarly-sized branches (Notebook 6).</w:t>
      </w:r>
    </w:p>
    <w:p>
      <w:pPr>
        <w:spacing w:after="160"/>
      </w:pPr>
      <w:r>
        <w:t xml:space="preserve">Recommendation: Roll out the Store Performance Dashboard (Section 10, Dashboard 3) to regional managers with monthly performance reviews benchmarked against peer branches of the same size and tenure.</w:t>
      </w:r>
    </w:p>
    <w:p>
      <w:pPr>
        <w:spacing w:after="160"/>
      </w:pPr>
      <w:r>
        <w:t xml:space="preserve">Expected Impact: Closes avoidable productivity gaps between best- and worst-performing branches.</w:t>
      </w:r>
    </w:p>
    <w:p>
      <w:pPr>
        <w:pStyle w:val="Heading2"/>
        <w:spacing w:after="110" w:before="220"/>
      </w:pPr>
      <w:r>
        <w:t xml:space="preserve">R5 — Close the Marketing-to-POS Attribution Gap</w:t>
      </w:r>
    </w:p>
    <w:p>
      <w:pPr>
        <w:spacing w:after="160"/>
      </w:pPr>
      <w:r>
        <w:t xml:space="preserve">Finding: Campaign performance cannot currently be linked to individual POS transactions.</w:t>
      </w:r>
    </w:p>
    <w:p>
      <w:pPr>
        <w:spacing w:after="160"/>
      </w:pPr>
      <w:r>
        <w:t xml:space="preserve">Recommendation: Add a Campaign_ID field to the point-of-sale system and require staff to tag promotional transactions at checkout.</w:t>
      </w:r>
    </w:p>
    <w:p>
      <w:pPr>
        <w:spacing w:after="160"/>
      </w:pPr>
      <w:r>
        <w:t xml:space="preserve">Expected Impact: Enables genuine, transaction-verified marketing ROI rather than campaign-reported estimates.</w:t>
      </w:r>
    </w:p>
    <w:p>
      <w:pPr>
        <w:pStyle w:val="Heading2"/>
        <w:spacing w:after="110" w:before="220"/>
      </w:pPr>
      <w:r>
        <w:t xml:space="preserve">R6 — Launch a High-Value Customer Retention Program</w:t>
      </w:r>
    </w:p>
    <w:p>
      <w:pPr>
        <w:spacing w:after="160"/>
      </w:pPr>
      <w:r>
        <w:t xml:space="preserve">Finding: The top 5% of customers by lifetime spend contribute a disproportionate share of revenue (Notebook 4).</w:t>
      </w:r>
    </w:p>
    <w:p>
      <w:pPr>
        <w:spacing w:after="160"/>
      </w:pPr>
      <w:r>
        <w:t xml:space="preserve">Recommendation: Build a loyalty tier with personalized offers and dedicated service for this segment, using the Customer Intelligence Dashboard (Section 10, Dashboard 4) to identify and track them.</w:t>
      </w:r>
    </w:p>
    <w:p>
      <w:pPr>
        <w:spacing w:after="160"/>
      </w:pPr>
      <w:r>
        <w:t xml:space="preserve">Expected Impact: Protects and grows ApexMart's highest-leverage revenue base.</w:t>
      </w:r>
    </w:p>
    <w:p>
      <w:pPr>
        <w:pStyle w:val="Heading2"/>
        <w:spacing w:after="110" w:before="220"/>
      </w:pPr>
      <w:r>
        <w:t xml:space="preserve">R7 — Institutionalize Data Governance</w:t>
      </w:r>
    </w:p>
    <w:p>
      <w:pPr>
        <w:spacing w:after="160"/>
      </w:pPr>
      <w:r>
        <w:t xml:space="preserve">Finding: Seven categories of data-quality issue were found in the raw transactional data (Section 2.6, and the companion Data Quality Assessment Report).</w:t>
      </w:r>
    </w:p>
    <w:p>
      <w:pPr>
        <w:spacing w:after="160"/>
      </w:pPr>
      <w:r>
        <w:t xml:space="preserve">Recommendation: Implement the referential-integrity constraints and reconciliation jobs defined in 02_SQL, with automated daily exception reporting to Finance/Ops.</w:t>
      </w:r>
    </w:p>
    <w:p>
      <w:pPr>
        <w:spacing w:after="160"/>
      </w:pPr>
      <w:r>
        <w:t xml:space="preserve">Expected Impact: Ensures every future dashboard and board figure is trustworthy by default, rather than requiring ad hoc consultant-led cleanup.</w:t>
      </w:r>
    </w:p>
    <w:p>
      <w:r>
        <w:br w:type="page"/>
      </w:r>
    </w:p>
    <w:p>
      <w:pPr>
        <w:spacing w:after="120"/>
      </w:pPr>
      <w:r>
        <w:rPr>
          <w:b/>
          <w:bCs/>
          <w:color w:val="1F4E79"/>
          <w:sz w:val="32"/>
          <w:szCs w:val="32"/>
        </w:rPr>
        <w:t xml:space="preserve">Section 6 — Implementation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00"/>
      </w:tblGrid>
      <w:tr>
        <w:tc>
          <w:tcPr>
            <w:tcW w:type="dxa" w:w="2600"/>
            <w:shd w:fill="1F4E79" w:color="auto" w:val="clear"/>
          </w:tcPr>
          <w:p>
            <w:r>
              <w:rPr>
                <w:b/>
                <w:bCs/>
                <w:color w:val="FFFFFF"/>
                <w:sz w:val="19"/>
                <w:szCs w:val="19"/>
              </w:rPr>
              <w:t xml:space="preserve">Phase</w:t>
            </w:r>
          </w:p>
        </w:tc>
        <w:tc>
          <w:tcPr>
            <w:tcW w:type="dxa" w:w="1800"/>
            <w:shd w:fill="1F4E79" w:color="auto" w:val="clear"/>
          </w:tcPr>
          <w:p>
            <w:r>
              <w:rPr>
                <w:b/>
                <w:bCs/>
                <w:color w:val="FFFFFF"/>
                <w:sz w:val="19"/>
                <w:szCs w:val="19"/>
              </w:rPr>
              <w:t xml:space="preserve">Timeframe</w:t>
            </w:r>
          </w:p>
        </w:tc>
        <w:tc>
          <w:tcPr>
            <w:tcW w:type="dxa" w:w="5600"/>
            <w:shd w:fill="1F4E79" w:color="auto" w:val="clear"/>
          </w:tcPr>
          <w:p>
            <w:r>
              <w:rPr>
                <w:b/>
                <w:bCs/>
                <w:color w:val="FFFFFF"/>
                <w:sz w:val="19"/>
                <w:szCs w:val="19"/>
              </w:rPr>
              <w:t xml:space="preserve">Key Actions</w:t>
            </w:r>
          </w:p>
        </w:tc>
      </w:tr>
      <w:tr>
        <w:tc>
          <w:tcPr>
            <w:tcW w:type="dxa" w:w="2600"/>
          </w:tcPr>
          <w:p>
            <w:r>
              <w:rPr>
                <w:b w:val="false"/>
                <w:bCs w:val="false"/>
                <w:color w:val="000000"/>
                <w:sz w:val="19"/>
                <w:szCs w:val="19"/>
              </w:rPr>
              <w:t xml:space="preserve">Phase 1 — Stabilize</w:t>
            </w:r>
          </w:p>
        </w:tc>
        <w:tc>
          <w:tcPr>
            <w:tcW w:type="dxa" w:w="1800"/>
          </w:tcPr>
          <w:p>
            <w:r>
              <w:rPr>
                <w:b w:val="false"/>
                <w:bCs w:val="false"/>
                <w:color w:val="000000"/>
                <w:sz w:val="19"/>
                <w:szCs w:val="19"/>
              </w:rPr>
              <w:t xml:space="preserve">Month 1-2</w:t>
            </w:r>
          </w:p>
        </w:tc>
        <w:tc>
          <w:tcPr>
            <w:tcW w:type="dxa" w:w="5600"/>
          </w:tcPr>
          <w:p>
            <w:r>
              <w:rPr>
                <w:b w:val="false"/>
                <w:bCs w:val="false"/>
                <w:color w:val="000000"/>
                <w:sz w:val="19"/>
                <w:szCs w:val="19"/>
              </w:rPr>
              <w:t xml:space="preserve">Deploy reconciliation pipeline (02_SQL); fix POS-catalog sync; quarantine unmapped records; stand up Sales_Clean as the single source of truth.</w:t>
            </w:r>
          </w:p>
        </w:tc>
      </w:tr>
      <w:tr>
        <w:tc>
          <w:tcPr>
            <w:tcW w:type="dxa" w:w="2600"/>
          </w:tcPr>
          <w:p>
            <w:r>
              <w:rPr>
                <w:b w:val="false"/>
                <w:bCs w:val="false"/>
                <w:color w:val="000000"/>
                <w:sz w:val="19"/>
                <w:szCs w:val="19"/>
              </w:rPr>
              <w:t xml:space="preserve">Phase 2 — Govern</w:t>
            </w:r>
          </w:p>
        </w:tc>
        <w:tc>
          <w:tcPr>
            <w:tcW w:type="dxa" w:w="1800"/>
          </w:tcPr>
          <w:p>
            <w:r>
              <w:rPr>
                <w:b w:val="false"/>
                <w:bCs w:val="false"/>
                <w:color w:val="000000"/>
                <w:sz w:val="19"/>
                <w:szCs w:val="19"/>
              </w:rPr>
              <w:t xml:space="preserve">Month 2-3</w:t>
            </w:r>
          </w:p>
        </w:tc>
        <w:tc>
          <w:tcPr>
            <w:tcW w:type="dxa" w:w="5600"/>
          </w:tcPr>
          <w:p>
            <w:r>
              <w:rPr>
                <w:b w:val="false"/>
                <w:bCs w:val="false"/>
                <w:color w:val="000000"/>
                <w:sz w:val="19"/>
                <w:szCs w:val="19"/>
              </w:rPr>
              <w:t xml:space="preserve">Introduce discount-approval thresholds (R1); launch Store Performance Dashboard (R4); begin supplier renegotiation on bottom-margin SKUs (R2).</w:t>
            </w:r>
          </w:p>
        </w:tc>
      </w:tr>
      <w:tr>
        <w:tc>
          <w:tcPr>
            <w:tcW w:type="dxa" w:w="2600"/>
          </w:tcPr>
          <w:p>
            <w:r>
              <w:rPr>
                <w:b w:val="false"/>
                <w:bCs w:val="false"/>
                <w:color w:val="000000"/>
                <w:sz w:val="19"/>
                <w:szCs w:val="19"/>
              </w:rPr>
              <w:t xml:space="preserve">Phase 3 — Optimize</w:t>
            </w:r>
          </w:p>
        </w:tc>
        <w:tc>
          <w:tcPr>
            <w:tcW w:type="dxa" w:w="1800"/>
          </w:tcPr>
          <w:p>
            <w:r>
              <w:rPr>
                <w:b w:val="false"/>
                <w:bCs w:val="false"/>
                <w:color w:val="000000"/>
                <w:sz w:val="19"/>
                <w:szCs w:val="19"/>
              </w:rPr>
              <w:t xml:space="preserve">Month 3-5</w:t>
            </w:r>
          </w:p>
        </w:tc>
        <w:tc>
          <w:tcPr>
            <w:tcW w:type="dxa" w:w="5600"/>
          </w:tcPr>
          <w:p>
            <w:r>
              <w:rPr>
                <w:b w:val="false"/>
                <w:bCs w:val="false"/>
                <w:color w:val="000000"/>
                <w:sz w:val="19"/>
                <w:szCs w:val="19"/>
              </w:rPr>
              <w:t xml:space="preserve">Rebalance inventory network-wide (R3); add Campaign_ID to POS (R5); launch high-value customer retention program (R6).</w:t>
            </w:r>
          </w:p>
        </w:tc>
      </w:tr>
      <w:tr>
        <w:tc>
          <w:tcPr>
            <w:tcW w:type="dxa" w:w="2600"/>
          </w:tcPr>
          <w:p>
            <w:r>
              <w:rPr>
                <w:b w:val="false"/>
                <w:bCs w:val="false"/>
                <w:color w:val="000000"/>
                <w:sz w:val="19"/>
                <w:szCs w:val="19"/>
              </w:rPr>
              <w:t xml:space="preserve">Phase 4 — Institutionalize</w:t>
            </w:r>
          </w:p>
        </w:tc>
        <w:tc>
          <w:tcPr>
            <w:tcW w:type="dxa" w:w="1800"/>
          </w:tcPr>
          <w:p>
            <w:r>
              <w:rPr>
                <w:b w:val="false"/>
                <w:bCs w:val="false"/>
                <w:color w:val="000000"/>
                <w:sz w:val="19"/>
                <w:szCs w:val="19"/>
              </w:rPr>
              <w:t xml:space="preserve">Month 5-6</w:t>
            </w:r>
          </w:p>
        </w:tc>
        <w:tc>
          <w:tcPr>
            <w:tcW w:type="dxa" w:w="5600"/>
          </w:tcPr>
          <w:p>
            <w:r>
              <w:rPr>
                <w:b w:val="false"/>
                <w:bCs w:val="false"/>
                <w:color w:val="000000"/>
                <w:sz w:val="19"/>
                <w:szCs w:val="19"/>
              </w:rPr>
              <w:t xml:space="preserve">Automate daily data-quality reporting (R7); embed all five Power BI dashboards into regular management routines; formal quarterly business review cadence.</w:t>
            </w:r>
          </w:p>
        </w:tc>
      </w:tr>
    </w:tbl>
    <w:p>
      <w:r>
        <w:br w:type="page"/>
      </w:r>
    </w:p>
    <w:p>
      <w:pPr>
        <w:spacing w:after="120"/>
      </w:pPr>
      <w:r>
        <w:rPr>
          <w:b/>
          <w:bCs/>
          <w:color w:val="1F4E79"/>
          <w:sz w:val="32"/>
          <w:szCs w:val="32"/>
        </w:rPr>
        <w:t xml:space="preserve">Section 7 — Simulated Business Impact</w:t>
      </w:r>
    </w:p>
    <w:p>
      <w:pPr>
        <w:spacing w:after="160"/>
      </w:pPr>
      <w:r>
        <w:rPr>
          <w:i/>
          <w:iCs/>
          <w:color w:val="595959"/>
        </w:rPr>
        <w:t xml:space="preserve">The figures below are simulated outcomes derived directly from the reconciled dataset used in this engagement, intended to size the opportunity directionally for planning purposes. They are not guarantees of future results and should be validated against ApexMart's live financial systems before being used for budget commitments.</w:t>
      </w:r>
    </w:p>
    <w:p>
      <w:pPr>
        <w:pStyle w:val="ListParagraph"/>
        <w:numPr>
          <w:ilvl w:val="0"/>
          <w:numId w:val="1"/>
        </w:numPr>
        <w:spacing w:after="80"/>
      </w:pPr>
      <w:r>
        <w:t xml:space="preserve">Identified an estimated NGN 16.2 million/year profitability improvement opportunity from closing the observed 3.2-point gross-margin gap through discount governance (SIMULATED).</w:t>
      </w:r>
    </w:p>
    <w:p>
      <w:pPr>
        <w:pStyle w:val="ListParagraph"/>
        <w:numPr>
          <w:ilvl w:val="0"/>
          <w:numId w:val="1"/>
        </w:numPr>
        <w:spacing w:after="80"/>
      </w:pPr>
      <w:r>
        <w:t xml:space="preserve">Identified an estimated NGN 8.6 million working-capital release from an 18% reduction in overstocked inventory value (SIMULATED).</w:t>
      </w:r>
    </w:p>
    <w:p>
      <w:pPr>
        <w:pStyle w:val="ListParagraph"/>
        <w:numPr>
          <w:ilvl w:val="0"/>
          <w:numId w:val="1"/>
        </w:numPr>
        <w:spacing w:after="80"/>
      </w:pPr>
      <w:r>
        <w:t xml:space="preserve">Identified 305 product-store combinations (35% of tracked inventory) at or below reorder level, representing avoidable lost-sale risk if replenishment is not re-sequenced (SIMULATED, based on current snapshot).</w:t>
      </w:r>
    </w:p>
    <w:p>
      <w:pPr>
        <w:pStyle w:val="ListParagraph"/>
        <w:numPr>
          <w:ilvl w:val="0"/>
          <w:numId w:val="1"/>
        </w:numPr>
        <w:spacing w:after="80"/>
      </w:pPr>
      <w:r>
        <w:t xml:space="preserve">Centralizing reporting into the five-dashboard Power BI suite is expected to materially reduce the manual effort currently spent compiling store and category performance for leadership review (SIMULATED, directional efficiency gain).</w:t>
      </w:r>
    </w:p>
    <w:p>
      <w:pPr>
        <w:pStyle w:val="ListParagraph"/>
        <w:numPr>
          <w:ilvl w:val="0"/>
          <w:numId w:val="1"/>
        </w:numPr>
        <w:spacing w:after="80"/>
      </w:pPr>
      <w:r>
        <w:t xml:space="preserve">Improved executive decision-making through a single, reconciled source of truth replacing fragmented, store-level spreadsheets (SIMULATED, qualitative and operational benefit).</w:t>
      </w:r>
    </w:p>
    <w:p>
      <w:pPr>
        <w:spacing w:after="160"/>
      </w:pPr>
      <w:r>
        <w:t xml:space="preserve"/>
      </w:r>
    </w:p>
    <w:p>
      <w:pPr>
        <w:spacing w:after="160"/>
      </w:pPr>
      <w:r>
        <w:rPr>
          <w:i/>
          <w:iCs/>
          <w:color w:val="595959"/>
          <w:sz w:val="20"/>
          <w:szCs w:val="20"/>
        </w:rPr>
        <w:t xml:space="preserve">— End of Business Consulting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2026-08-03T20:21:33.643Z</dcterms:created>
  <dcterms:modified xsi:type="dcterms:W3CDTF">2026-08-03T20:21:33.644Z</dcterms:modified>
</cp:coreProperties>
</file>

<file path=docProps/custom.xml><?xml version="1.0" encoding="utf-8"?>
<Properties xmlns="http://schemas.openxmlformats.org/officeDocument/2006/custom-properties" xmlns:vt="http://schemas.openxmlformats.org/officeDocument/2006/docPropsVTypes"/>
</file>