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79"/>
          <w:sz w:val="28"/>
          <w:szCs w:val="28"/>
        </w:rPr>
        <w:t xml:space="preserve">ApexMart Retail Ltd.</w:t>
      </w:r>
    </w:p>
    <w:p>
      <w:pPr>
        <w:spacing w:after="120"/>
      </w:pPr>
      <w:r>
        <w:rPr>
          <w:b/>
          <w:bCs/>
          <w:color w:val="1F4E79"/>
          <w:sz w:val="44"/>
          <w:szCs w:val="44"/>
        </w:rPr>
        <w:t xml:space="preserve">Data Quality Assessment &amp; Reconciliation Report</w:t>
      </w:r>
    </w:p>
    <w:p>
      <w:pPr>
        <w:spacing w:after="60"/>
      </w:pPr>
      <w:r>
        <w:rPr>
          <w:i/>
          <w:iCs/>
          <w:color w:val="595959"/>
          <w:sz w:val="24"/>
          <w:szCs w:val="24"/>
        </w:rPr>
        <w:t xml:space="preserve">Retail Profitability &amp; Performance Optimization Engagement</w:t>
      </w:r>
    </w:p>
    <w:p>
      <w:r>
        <w:rPr>
          <w:color w:val="595959"/>
          <w:sz w:val="20"/>
          <w:szCs w:val="20"/>
        </w:rPr>
        <w:t xml:space="preserve">Prepared by: Business Analytics Consulting Team</w:t>
      </w:r>
    </w:p>
    <w:p>
      <w:pPr>
        <w:spacing w:after="300"/>
      </w:pPr>
      <w:r>
        <w:rPr>
          <w:color w:val="595959"/>
          <w:sz w:val="20"/>
          <w:szCs w:val="20"/>
        </w:rPr>
        <w:t xml:space="preserve">Classification: Internal — Client Engagement Deliverable</w:t>
      </w:r>
    </w:p>
    <w:p>
      <w:pPr>
        <w:pStyle w:val="Heading1"/>
        <w:spacing w:after="150" w:before="300"/>
      </w:pPr>
      <w:r>
        <w:t xml:space="preserve">1. Purpose of This Assessment</w:t>
      </w:r>
    </w:p>
    <w:p>
      <w:pPr>
        <w:spacing w:after="160"/>
      </w:pPr>
      <w:r>
        <w:t xml:space="preserve">Before ApexMart's leadership can trust any dashboard, KPI, or board figure produced during this engagement, the underlying transactional data must be validated. This report documents the data-quality issues identified across the sales, customer, product, store, inventory, and returns datasets during the analytics build, the method used to detect each issue, the business impact if left uncorrected, and the resolution approach applied before the data was promoted to the reporting layer used in Sections 6, 9, 10, and 11 of the main engagement.</w:t>
      </w:r>
    </w:p>
    <w:p>
      <w:pPr>
        <w:spacing w:after="160"/>
      </w:pPr>
      <w:r>
        <w:t xml:space="preserve">This exercise is what a governed data warehouse would perform automatically on every load; ApexMart currently has no equivalent control, which is itself one of the reporting-fragmentation problems raised in Section 2 of the engagement overview.</w:t>
      </w:r>
    </w:p>
    <w:p>
      <w:pPr>
        <w:pStyle w:val="Heading1"/>
        <w:spacing w:after="150" w:before="300"/>
      </w:pPr>
      <w:r>
        <w:t xml:space="preserve">2. Summary of Findings</w:t>
      </w:r>
    </w:p>
    <w:p>
      <w:pPr>
        <w:spacing w:after="160"/>
      </w:pPr>
      <w:r>
        <w:t xml:space="preserve">Across approximately 45,000 sales transactions and 1,800+ return records analyzed, seven distinct categories of data-quality issue were identified, collectively affecting roughly 1.2% of transaction volume. While individually small, several of these issues — particularly revenue mismatches and missing payment records — directly distort the profitability figures management relies on for pricing and discounting decisions, making remediation a prerequisite for any executive reporting rollout.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600"/>
        <w:gridCol w:w="2600"/>
      </w:tblGrid>
      <w:tr>
        <w:tc>
          <w:tcPr>
            <w:tcW w:type="dxa" w:w="2200"/>
            <w:shd w:fill="1F4E79" w:color="auto" w:val="clear"/>
          </w:tcPr>
          <w:p>
            <w:r>
              <w:rPr>
                <w:b/>
                <w:bCs/>
                <w:color w:val="FFFFFF"/>
                <w:sz w:val="20"/>
                <w:szCs w:val="20"/>
              </w:rPr>
              <w:t xml:space="preserve">Issue</w:t>
            </w:r>
          </w:p>
        </w:tc>
        <w:tc>
          <w:tcPr>
            <w:tcW w:type="dxa" w:w="2600"/>
            <w:shd w:fill="1F4E79" w:color="auto" w:val="clear"/>
          </w:tcPr>
          <w:p>
            <w:r>
              <w:rPr>
                <w:b/>
                <w:bCs/>
                <w:color w:val="FFFFFF"/>
                <w:sz w:val="20"/>
                <w:szCs w:val="20"/>
              </w:rPr>
              <w:t xml:space="preserve">Detection Method</w:t>
            </w:r>
          </w:p>
        </w:tc>
        <w:tc>
          <w:tcPr>
            <w:tcW w:type="dxa" w:w="2600"/>
            <w:shd w:fill="1F4E79" w:color="auto" w:val="clear"/>
          </w:tcPr>
          <w:p>
            <w:r>
              <w:rPr>
                <w:b/>
                <w:bCs/>
                <w:color w:val="FFFFFF"/>
                <w:sz w:val="20"/>
                <w:szCs w:val="20"/>
              </w:rPr>
              <w:t xml:space="preserve">Business Impact</w:t>
            </w:r>
          </w:p>
        </w:tc>
        <w:tc>
          <w:tcPr>
            <w:tcW w:type="dxa" w:w="2600"/>
            <w:shd w:fill="1F4E79" w:color="auto" w:val="clear"/>
          </w:tcPr>
          <w:p>
            <w:r>
              <w:rPr>
                <w:b/>
                <w:bCs/>
                <w:color w:val="FFFFFF"/>
                <w:sz w:val="20"/>
                <w:szCs w:val="20"/>
              </w:rPr>
              <w:t xml:space="preserve">Resolution Approach</w:t>
            </w:r>
          </w:p>
        </w:tc>
      </w:tr>
      <w:tr>
        <w:tc>
          <w:tcPr>
            <w:tcW w:type="dxa" w:w="2200"/>
          </w:tcPr>
          <w:p>
            <w:r>
              <w:rPr>
                <w:b w:val="false"/>
                <w:bCs w:val="false"/>
                <w:color w:val="000000"/>
                <w:sz w:val="20"/>
                <w:szCs w:val="20"/>
              </w:rPr>
              <w:t xml:space="preserve">Duplicate transactions</w:t>
            </w:r>
          </w:p>
        </w:tc>
        <w:tc>
          <w:tcPr>
            <w:tcW w:type="dxa" w:w="2600"/>
          </w:tcPr>
          <w:p>
            <w:r>
              <w:rPr>
                <w:b w:val="false"/>
                <w:bCs w:val="false"/>
                <w:color w:val="000000"/>
                <w:sz w:val="20"/>
                <w:szCs w:val="20"/>
              </w:rPr>
              <w:t xml:space="preserve">Grouped Transaction_ID and flagged any count &gt; 1 in the raw extract.</w:t>
            </w:r>
          </w:p>
        </w:tc>
        <w:tc>
          <w:tcPr>
            <w:tcW w:type="dxa" w:w="2600"/>
          </w:tcPr>
          <w:p>
            <w:r>
              <w:rPr>
                <w:b w:val="false"/>
                <w:bCs w:val="false"/>
                <w:color w:val="000000"/>
                <w:sz w:val="20"/>
                <w:szCs w:val="20"/>
              </w:rPr>
              <w:t xml:space="preserve">Overstates revenue and profit; inflates apparent sales velocity for affected products/stores.</w:t>
            </w:r>
          </w:p>
        </w:tc>
        <w:tc>
          <w:tcPr>
            <w:tcW w:type="dxa" w:w="2600"/>
          </w:tcPr>
          <w:p>
            <w:r>
              <w:rPr>
                <w:b w:val="false"/>
                <w:bCs w:val="false"/>
                <w:color w:val="000000"/>
                <w:sz w:val="20"/>
                <w:szCs w:val="20"/>
              </w:rPr>
              <w:t xml:space="preserve">De-duplicated, retaining the first occurrence of each Transaction_ID; logic implemented as a reusable view (Sales_Deduplicated).</w:t>
            </w:r>
          </w:p>
        </w:tc>
      </w:tr>
      <w:tr>
        <w:tc>
          <w:tcPr>
            <w:tcW w:type="dxa" w:w="2200"/>
          </w:tcPr>
          <w:p>
            <w:r>
              <w:rPr>
                <w:b w:val="false"/>
                <w:bCs w:val="false"/>
                <w:color w:val="000000"/>
                <w:sz w:val="20"/>
                <w:szCs w:val="20"/>
              </w:rPr>
              <w:t xml:space="preserve">Missing customer records</w:t>
            </w:r>
          </w:p>
        </w:tc>
        <w:tc>
          <w:tcPr>
            <w:tcW w:type="dxa" w:w="2600"/>
          </w:tcPr>
          <w:p>
            <w:r>
              <w:rPr>
                <w:b w:val="false"/>
                <w:bCs w:val="false"/>
                <w:color w:val="000000"/>
                <w:sz w:val="20"/>
                <w:szCs w:val="20"/>
              </w:rPr>
              <w:t xml:space="preserve">Left-joined Sales to Customers and isolated Customer_IDs with no match.</w:t>
            </w:r>
          </w:p>
        </w:tc>
        <w:tc>
          <w:tcPr>
            <w:tcW w:type="dxa" w:w="2600"/>
          </w:tcPr>
          <w:p>
            <w:r>
              <w:rPr>
                <w:b w:val="false"/>
                <w:bCs w:val="false"/>
                <w:color w:val="000000"/>
                <w:sz w:val="20"/>
                <w:szCs w:val="20"/>
              </w:rPr>
              <w:t xml:space="preserve">Breaks customer segmentation and CLV analysis; understates active customer counts.</w:t>
            </w:r>
          </w:p>
        </w:tc>
        <w:tc>
          <w:tcPr>
            <w:tcW w:type="dxa" w:w="2600"/>
          </w:tcPr>
          <w:p>
            <w:r>
              <w:rPr>
                <w:b w:val="false"/>
                <w:bCs w:val="false"/>
                <w:color w:val="000000"/>
                <w:sz w:val="20"/>
                <w:szCs w:val="20"/>
              </w:rPr>
              <w:t xml:space="preserve">Flagged as 'Unmapped Customer' and routed to a holding record so revenue is retained in financial totals while CRM sync is fixed at source.</w:t>
            </w:r>
          </w:p>
        </w:tc>
      </w:tr>
      <w:tr>
        <w:tc>
          <w:tcPr>
            <w:tcW w:type="dxa" w:w="2200"/>
          </w:tcPr>
          <w:p>
            <w:r>
              <w:rPr>
                <w:b w:val="false"/>
                <w:bCs w:val="false"/>
                <w:color w:val="000000"/>
                <w:sz w:val="20"/>
                <w:szCs w:val="20"/>
              </w:rPr>
              <w:t xml:space="preserve">Invalid / unmapped store codes</w:t>
            </w:r>
          </w:p>
        </w:tc>
        <w:tc>
          <w:tcPr>
            <w:tcW w:type="dxa" w:w="2600"/>
          </w:tcPr>
          <w:p>
            <w:r>
              <w:rPr>
                <w:b w:val="false"/>
                <w:bCs w:val="false"/>
                <w:color w:val="000000"/>
                <w:sz w:val="20"/>
                <w:szCs w:val="20"/>
              </w:rPr>
              <w:t xml:space="preserve">Left-joined Sales to Stores; isolated Store_IDs absent from the store master.</w:t>
            </w:r>
          </w:p>
        </w:tc>
        <w:tc>
          <w:tcPr>
            <w:tcW w:type="dxa" w:w="2600"/>
          </w:tcPr>
          <w:p>
            <w:r>
              <w:rPr>
                <w:b w:val="false"/>
                <w:bCs w:val="false"/>
                <w:color w:val="000000"/>
                <w:sz w:val="20"/>
                <w:szCs w:val="20"/>
              </w:rPr>
              <w:t xml:space="preserve">Revenue cannot be attributed to a real branch, corrupting store-level P&amp;L and regional rollups.</w:t>
            </w:r>
          </w:p>
        </w:tc>
        <w:tc>
          <w:tcPr>
            <w:tcW w:type="dxa" w:w="2600"/>
          </w:tcPr>
          <w:p>
            <w:r>
              <w:rPr>
                <w:b w:val="false"/>
                <w:bCs w:val="false"/>
                <w:color w:val="000000"/>
                <w:sz w:val="20"/>
                <w:szCs w:val="20"/>
              </w:rPr>
              <w:t xml:space="preserve">Quarantined to a Sales_Exceptions_Unmapped_Store table for manual store-code mapping by Finance/Ops rather than silently allocated to an incorrect branch.</w:t>
            </w:r>
          </w:p>
        </w:tc>
      </w:tr>
      <w:tr>
        <w:tc>
          <w:tcPr>
            <w:tcW w:type="dxa" w:w="2200"/>
          </w:tcPr>
          <w:p>
            <w:r>
              <w:rPr>
                <w:b w:val="false"/>
                <w:bCs w:val="false"/>
                <w:color w:val="000000"/>
                <w:sz w:val="20"/>
                <w:szCs w:val="20"/>
              </w:rPr>
              <w:t xml:space="preserve">Incorrect / missing product mappings</w:t>
            </w:r>
          </w:p>
        </w:tc>
        <w:tc>
          <w:tcPr>
            <w:tcW w:type="dxa" w:w="2600"/>
          </w:tcPr>
          <w:p>
            <w:r>
              <w:rPr>
                <w:b w:val="false"/>
                <w:bCs w:val="false"/>
                <w:color w:val="000000"/>
                <w:sz w:val="20"/>
                <w:szCs w:val="20"/>
              </w:rPr>
              <w:t xml:space="preserve">Left-joined Sales to Products; isolated Product_IDs absent from the catalog.</w:t>
            </w:r>
          </w:p>
        </w:tc>
        <w:tc>
          <w:tcPr>
            <w:tcW w:type="dxa" w:w="2600"/>
          </w:tcPr>
          <w:p>
            <w:r>
              <w:rPr>
                <w:b w:val="false"/>
                <w:bCs w:val="false"/>
                <w:color w:val="000000"/>
                <w:sz w:val="20"/>
                <w:szCs w:val="20"/>
              </w:rPr>
              <w:t xml:space="preserve">Distorts category and product profitability analysis; root-caused to a POS-to-catalog sync failure during a system migration.</w:t>
            </w:r>
          </w:p>
        </w:tc>
        <w:tc>
          <w:tcPr>
            <w:tcW w:type="dxa" w:w="2600"/>
          </w:tcPr>
          <w:p>
            <w:r>
              <w:rPr>
                <w:b w:val="false"/>
                <w:bCs w:val="false"/>
                <w:color w:val="000000"/>
                <w:sz w:val="20"/>
                <w:szCs w:val="20"/>
              </w:rPr>
              <w:t xml:space="preserve">Quarantined to a Sales_Exceptions_Unmapped_Product table pending catalog-team remediation.</w:t>
            </w:r>
          </w:p>
        </w:tc>
      </w:tr>
      <w:tr>
        <w:tc>
          <w:tcPr>
            <w:tcW w:type="dxa" w:w="2200"/>
          </w:tcPr>
          <w:p>
            <w:r>
              <w:rPr>
                <w:b w:val="false"/>
                <w:bCs w:val="false"/>
                <w:color w:val="000000"/>
                <w:sz w:val="20"/>
                <w:szCs w:val="20"/>
              </w:rPr>
              <w:t xml:space="preserve">Revenue mismatches</w:t>
            </w:r>
          </w:p>
        </w:tc>
        <w:tc>
          <w:tcPr>
            <w:tcW w:type="dxa" w:w="2600"/>
          </w:tcPr>
          <w:p>
            <w:r>
              <w:rPr>
                <w:b w:val="false"/>
                <w:bCs w:val="false"/>
                <w:color w:val="000000"/>
                <w:sz w:val="20"/>
                <w:szCs w:val="20"/>
              </w:rPr>
              <w:t xml:space="preserve">Recomputed Sales_Amount from Unit_Price x Quantity - Discount and flagged variances exceeding a NGN 1 rounding tolerance.</w:t>
            </w:r>
          </w:p>
        </w:tc>
        <w:tc>
          <w:tcPr>
            <w:tcW w:type="dxa" w:w="2600"/>
          </w:tcPr>
          <w:p>
            <w:r>
              <w:rPr>
                <w:b w:val="false"/>
                <w:bCs w:val="false"/>
                <w:color w:val="000000"/>
                <w:sz w:val="20"/>
                <w:szCs w:val="20"/>
              </w:rPr>
              <w:t xml:space="preserve">Silently misstates per-transaction and aggregate revenue/margin, undermining pricing and discount-governance decisions.</w:t>
            </w:r>
          </w:p>
        </w:tc>
        <w:tc>
          <w:tcPr>
            <w:tcW w:type="dxa" w:w="2600"/>
          </w:tcPr>
          <w:p>
            <w:r>
              <w:rPr>
                <w:b w:val="false"/>
                <w:bCs w:val="false"/>
                <w:color w:val="000000"/>
                <w:sz w:val="20"/>
                <w:szCs w:val="20"/>
              </w:rPr>
              <w:t xml:space="preserve">Recomputed Sales_Amount from source fields for all flagged rows; correction logged for audit via Sales_Amount_Corrected view.</w:t>
            </w:r>
          </w:p>
        </w:tc>
      </w:tr>
      <w:tr>
        <w:tc>
          <w:tcPr>
            <w:tcW w:type="dxa" w:w="2200"/>
          </w:tcPr>
          <w:p>
            <w:r>
              <w:rPr>
                <w:b w:val="false"/>
                <w:bCs w:val="false"/>
                <w:color w:val="000000"/>
                <w:sz w:val="20"/>
                <w:szCs w:val="20"/>
              </w:rPr>
              <w:t xml:space="preserve">Missing payments</w:t>
            </w:r>
          </w:p>
        </w:tc>
        <w:tc>
          <w:tcPr>
            <w:tcW w:type="dxa" w:w="2600"/>
          </w:tcPr>
          <w:p>
            <w:r>
              <w:rPr>
                <w:b w:val="false"/>
                <w:bCs w:val="false"/>
                <w:color w:val="000000"/>
                <w:sz w:val="20"/>
                <w:szCs w:val="20"/>
              </w:rPr>
              <w:t xml:space="preserve">Isolated transactions with a null Sales_Amount despite a completed POS line item.</w:t>
            </w:r>
          </w:p>
        </w:tc>
        <w:tc>
          <w:tcPr>
            <w:tcW w:type="dxa" w:w="2600"/>
          </w:tcPr>
          <w:p>
            <w:r>
              <w:rPr>
                <w:b w:val="false"/>
                <w:bCs w:val="false"/>
                <w:color w:val="000000"/>
                <w:sz w:val="20"/>
                <w:szCs w:val="20"/>
              </w:rPr>
              <w:t xml:space="preserve">Understates revenue; if unaddressed, real sales are excluded from executive reporting entirely.</w:t>
            </w:r>
          </w:p>
        </w:tc>
        <w:tc>
          <w:tcPr>
            <w:tcW w:type="dxa" w:w="2600"/>
          </w:tcPr>
          <w:p>
            <w:r>
              <w:rPr>
                <w:b w:val="false"/>
                <w:bCs w:val="false"/>
                <w:color w:val="000000"/>
                <w:sz w:val="20"/>
                <w:szCs w:val="20"/>
              </w:rPr>
              <w:t xml:space="preserve">Imputed the expected payment from Unit_Price/Quantity/Discount as an interim reporting value, explicitly flagged 'Imputed — Pending Finance Confirmation' pending payment-gateway reconciliation.</w:t>
            </w:r>
          </w:p>
        </w:tc>
      </w:tr>
      <w:tr>
        <w:tc>
          <w:tcPr>
            <w:tcW w:type="dxa" w:w="2200"/>
          </w:tcPr>
          <w:p>
            <w:r>
              <w:rPr>
                <w:b w:val="false"/>
                <w:bCs w:val="false"/>
                <w:color w:val="000000"/>
                <w:sz w:val="20"/>
                <w:szCs w:val="20"/>
              </w:rPr>
              <w:t xml:space="preserve">Orphaned return records</w:t>
            </w:r>
          </w:p>
        </w:tc>
        <w:tc>
          <w:tcPr>
            <w:tcW w:type="dxa" w:w="2600"/>
          </w:tcPr>
          <w:p>
            <w:r>
              <w:rPr>
                <w:b w:val="false"/>
                <w:bCs w:val="false"/>
                <w:color w:val="000000"/>
                <w:sz w:val="20"/>
                <w:szCs w:val="20"/>
              </w:rPr>
              <w:t xml:space="preserve">Left-joined Returns to Sales; isolated Transaction_IDs with no matching sale.</w:t>
            </w:r>
          </w:p>
        </w:tc>
        <w:tc>
          <w:tcPr>
            <w:tcW w:type="dxa" w:w="2600"/>
          </w:tcPr>
          <w:p>
            <w:r>
              <w:rPr>
                <w:b w:val="false"/>
                <w:bCs w:val="false"/>
                <w:color w:val="000000"/>
                <w:sz w:val="20"/>
                <w:szCs w:val="20"/>
              </w:rPr>
              <w:t xml:space="preserve">Indicates the returns portal is not fully integrated with the POS system; refund figures cannot be tied to the originating sale.</w:t>
            </w:r>
          </w:p>
        </w:tc>
        <w:tc>
          <w:tcPr>
            <w:tcW w:type="dxa" w:w="2600"/>
          </w:tcPr>
          <w:p>
            <w:r>
              <w:rPr>
                <w:b w:val="false"/>
                <w:bCs w:val="false"/>
                <w:color w:val="000000"/>
                <w:sz w:val="20"/>
                <w:szCs w:val="20"/>
              </w:rPr>
              <w:t xml:space="preserve">Retained for return-reason reporting but excluded from any analysis requiring a valid link back to the originating transaction.</w:t>
            </w:r>
          </w:p>
        </w:tc>
      </w:tr>
    </w:tbl>
    <w:p>
      <w:r>
        <w:br w:type="page"/>
      </w:r>
    </w:p>
    <w:p>
      <w:pPr>
        <w:pStyle w:val="Heading1"/>
        <w:spacing w:after="150" w:before="300"/>
      </w:pPr>
      <w:r>
        <w:t xml:space="preserve">3. Reconciliation Logic</w:t>
      </w:r>
    </w:p>
    <w:p>
      <w:pPr>
        <w:pStyle w:val="Heading2"/>
        <w:spacing w:after="120" w:before="240"/>
      </w:pPr>
      <w:r>
        <w:t xml:space="preserve">3.1 Sales vs. Inventory</w:t>
      </w:r>
    </w:p>
    <w:p>
      <w:pPr>
        <w:spacing w:after="160"/>
      </w:pPr>
      <w:r>
        <w:t xml:space="preserve">Every (Product_ID, Store_ID) combination appearing in Sales was checked against the Inventory snapshot for a matching record. Combinations with active sales but no inventory record indicate a missing stock-count file for that store/product pair and are surfaced for the inventory-planning team to close, rather than assumed to be zero stock.</w:t>
      </w:r>
    </w:p>
    <w:p>
      <w:pPr>
        <w:pStyle w:val="Heading2"/>
        <w:spacing w:after="120" w:before="240"/>
      </w:pPr>
      <w:r>
        <w:t xml:space="preserve">3.2 Sales vs. Returns</w:t>
      </w:r>
    </w:p>
    <w:p>
      <w:pPr>
        <w:spacing w:after="160"/>
      </w:pPr>
      <w:r>
        <w:t xml:space="preserve">Every Transaction_ID in Returns was checked against Sales. Twelve orphaned return records were identified, consistent with a returns-portal system that operates independently of the point-of-sale platform — a fragmentation issue also raised qualitatively in the engagement overview.</w:t>
      </w:r>
    </w:p>
    <w:p>
      <w:pPr>
        <w:pStyle w:val="Heading2"/>
        <w:spacing w:after="120" w:before="240"/>
      </w:pPr>
      <w:r>
        <w:t xml:space="preserve">3.3 Revenue vs. Payments</w:t>
      </w:r>
    </w:p>
    <w:p>
      <w:pPr>
        <w:spacing w:after="160"/>
      </w:pPr>
      <w:r>
        <w:t xml:space="preserve">Transactions with a null Sales_Amount were treated as a Revenue-vs-Payments reconciliation gap: the expected payment was derived from source fields (Unit_Price, Quantity_Sold, Discount) and flagged for Finance to confirm against the payment-gateway settlement file before being treated as confirmed revenue.</w:t>
      </w:r>
    </w:p>
    <w:p>
      <w:pPr>
        <w:pStyle w:val="Heading1"/>
        <w:spacing w:after="150" w:before="300"/>
      </w:pPr>
      <w:r>
        <w:t xml:space="preserve">4. Impact on Downstream Reporting</w:t>
      </w:r>
    </w:p>
    <w:p>
      <w:pPr>
        <w:pStyle w:val="ListParagraph"/>
        <w:numPr>
          <w:ilvl w:val="0"/>
          <w:numId w:val="1"/>
        </w:numPr>
        <w:spacing w:after="80"/>
      </w:pPr>
      <w:r>
        <w:t xml:space="preserve">The cleaned, reconciled dataset (sales_clean.csv, produced in Notebook 2 of 03_Python_Analysis) is the single source used for every subsequent analysis, dashboard specification, and figure quoted in the Business Consulting Report.</w:t>
      </w:r>
    </w:p>
    <w:p>
      <w:pPr>
        <w:pStyle w:val="ListParagraph"/>
        <w:numPr>
          <w:ilvl w:val="0"/>
          <w:numId w:val="1"/>
        </w:numPr>
        <w:spacing w:after="80"/>
      </w:pPr>
      <w:r>
        <w:t xml:space="preserve">Approximately 375 of 45,120 raw transaction records (0.8%) required correction or quarantine; none were silently dropped from the reporting universe without a corresponding exception record.</w:t>
      </w:r>
    </w:p>
    <w:p>
      <w:pPr>
        <w:pStyle w:val="ListParagraph"/>
        <w:numPr>
          <w:ilvl w:val="0"/>
          <w:numId w:val="1"/>
        </w:numPr>
        <w:spacing w:after="80"/>
      </w:pPr>
      <w:r>
        <w:t xml:space="preserve">All monetary figures in this engagement's outputs are therefore reconciled figures, not raw POS exports.</w:t>
      </w:r>
    </w:p>
    <w:p>
      <w:pPr>
        <w:pStyle w:val="Heading1"/>
        <w:spacing w:after="150" w:before="300"/>
      </w:pPr>
      <w:r>
        <w:t xml:space="preserve">5. Recommendations for Sustained Data Quality</w:t>
      </w:r>
    </w:p>
    <w:p>
      <w:pPr>
        <w:pStyle w:val="ListParagraph"/>
        <w:numPr>
          <w:ilvl w:val="0"/>
          <w:numId w:val="1"/>
        </w:numPr>
        <w:spacing w:after="80"/>
      </w:pPr>
      <w:r>
        <w:t xml:space="preserve">Enforce referential integrity (foreign keys) at the point of ingestion into the data warehouse rather than relying on downstream reconciliation — see the schema constraints in 02_SQL/01_schema.sql.</w:t>
      </w:r>
    </w:p>
    <w:p>
      <w:pPr>
        <w:pStyle w:val="ListParagraph"/>
        <w:numPr>
          <w:ilvl w:val="0"/>
          <w:numId w:val="1"/>
        </w:numPr>
        <w:spacing w:after="80"/>
      </w:pPr>
      <w:r>
        <w:t xml:space="preserve">Add automated daily reconciliation jobs for the checks in Section 3, alerting Finance/Ops when exception volumes exceed a defined threshold.</w:t>
      </w:r>
    </w:p>
    <w:p>
      <w:pPr>
        <w:pStyle w:val="ListParagraph"/>
        <w:numPr>
          <w:ilvl w:val="0"/>
          <w:numId w:val="1"/>
        </w:numPr>
        <w:spacing w:after="80"/>
      </w:pPr>
      <w:r>
        <w:t xml:space="preserve">Integrate the returns portal and payment gateway with the POS system to eliminate orphaned records at the source.</w:t>
      </w:r>
    </w:p>
    <w:p>
      <w:pPr>
        <w:pStyle w:val="ListParagraph"/>
        <w:numPr>
          <w:ilvl w:val="0"/>
          <w:numId w:val="1"/>
        </w:numPr>
        <w:spacing w:after="80"/>
      </w:pPr>
      <w:r>
        <w:t xml:space="preserve">Introduce a Campaign_ID field on POS transactions to close the sales-to-marketing attribution gap flagged separately in the main report.</w:t>
      </w:r>
    </w:p>
    <w:p>
      <w:pPr>
        <w:spacing w:after="160"/>
      </w:pPr>
      <w:r>
        <w:t xml:space="preserve"/>
      </w:r>
    </w:p>
    <w:p>
      <w:pPr>
        <w:spacing w:after="160"/>
      </w:pPr>
      <w:r>
        <w:rPr>
          <w:i/>
          <w:iCs/>
          <w:color w:val="595959"/>
          <w:sz w:val="20"/>
          <w:szCs w:val="20"/>
        </w:rPr>
        <w:t xml:space="preserve">— End of Data Quality Assessment &amp; Reconciliation Report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2026-08-03T20:20:02.434Z</dcterms:created>
  <dcterms:modified xsi:type="dcterms:W3CDTF">2026-08-03T20:20:02.445Z</dcterms:modified>
</cp:coreProperties>
</file>

<file path=docProps/custom.xml><?xml version="1.0" encoding="utf-8"?>
<Properties xmlns="http://schemas.openxmlformats.org/officeDocument/2006/custom-properties" xmlns:vt="http://schemas.openxmlformats.org/officeDocument/2006/docPropsVTypes"/>
</file>