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0"/>
      </w:pPr>
      <w:r>
        <w:t xml:space="preserve"/>
      </w:r>
    </w:p>
    <w:p>
      <w:pPr>
        <w:spacing w:before="0" w:after="200"/>
        <w:jc w:val="center"/>
      </w:pPr>
      <w:r>
        <w:rPr>
          <w:rFonts w:ascii="Arial" w:cs="Arial" w:eastAsia="Arial" w:hAnsi="Arial"/>
          <w:b/>
          <w:bCs/>
          <w:color w:val="2C4A2E"/>
          <w:sz w:val="48"/>
          <w:szCs w:val="48"/>
        </w:rPr>
        <w:t xml:space="preserve">Greenfield Local Hub</w:t>
      </w:r>
    </w:p>
    <w:p>
      <w:pPr>
        <w:spacing w:before="0" w:after="120"/>
        <w:jc w:val="center"/>
      </w:pPr>
      <w:r>
        <w:rPr>
          <w:rFonts w:ascii="Arial" w:cs="Arial" w:eastAsia="Arial" w:hAnsi="Arial"/>
          <w:b/>
          <w:bCs/>
          <w:color w:val="5A8F5E"/>
          <w:sz w:val="36"/>
          <w:szCs w:val="36"/>
        </w:rPr>
        <w:t xml:space="preserve">Wireframe Design Analysis</w:t>
      </w:r>
    </w:p>
    <w:p>
      <w:pPr>
        <w:pBdr>
          <w:bottom w:val="single" w:color="5A8F5E" w:sz="6" w:space="1"/>
        </w:pBdr>
        <w:spacing w:before="0" w:after="80"/>
        <w:jc w:val="center"/>
      </w:pPr>
      <w:r>
        <w:rPr>
          <w:rFonts w:ascii="Arial" w:cs="Arial" w:eastAsia="Arial" w:hAnsi="Arial"/>
          <w:color w:val="555555"/>
          <w:sz w:val="24"/>
          <w:szCs w:val="24"/>
        </w:rPr>
        <w:t xml:space="preserve">Design Proposal Documentation</w:t>
      </w:r>
    </w:p>
    <w:p>
      <w:pPr>
        <w:spacing w:before="160" w:after="160"/>
      </w:pPr>
      <w:r>
        <w:t xml:space="preserve"/>
      </w:r>
    </w:p>
    <w:p>
      <w:pPr>
        <w:spacing w:before="0" w:after="80"/>
        <w:jc w:val="center"/>
      </w:pPr>
      <w:r>
        <w:rPr>
          <w:rFonts w:ascii="Arial" w:cs="Arial" w:eastAsia="Arial" w:hAnsi="Arial"/>
          <w:color w:val="555555"/>
          <w:sz w:val="22"/>
          <w:szCs w:val="22"/>
        </w:rPr>
        <w:t xml:space="preserve">Unit: Digital Solution Design</w:t>
      </w:r>
    </w:p>
    <w:p>
      <w:pPr>
        <w:spacing w:before="0" w:after="80"/>
        <w:jc w:val="center"/>
      </w:pPr>
      <w:r>
        <w:rPr>
          <w:rFonts w:ascii="Arial" w:cs="Arial" w:eastAsia="Arial" w:hAnsi="Arial"/>
          <w:color w:val="555555"/>
          <w:sz w:val="22"/>
          <w:szCs w:val="22"/>
        </w:rPr>
        <w:t xml:space="preserve">Client: Greenfield Local Hub (GLH)</w:t>
      </w:r>
    </w:p>
    <w:p>
      <w:pPr>
        <w:spacing w:before="0" w:after="80"/>
        <w:jc w:val="center"/>
      </w:pPr>
      <w:r>
        <w:rPr>
          <w:rFonts w:ascii="Arial" w:cs="Arial" w:eastAsia="Arial" w:hAnsi="Arial"/>
          <w:color w:val="555555"/>
          <w:sz w:val="22"/>
          <w:szCs w:val="22"/>
        </w:rPr>
        <w:t xml:space="preserve">2024</w:t>
      </w:r>
    </w:p>
    <w:p>
      <w:pPr>
        <w:spacing w:before="400" w:after="400"/>
      </w:pPr>
      <w:r>
        <w:t xml:space="preserve"/>
      </w:r>
    </w:p>
    <w:p>
      <w:pPr>
        <w:pageBreakBefore/>
      </w:pPr>
      <w:r>
        <w:rPr>
          <w:sz w:val="22"/>
          <w:szCs w:val="22"/>
        </w:rPr>
        <w:t xml:space="preserve"/>
      </w:r>
    </w:p>
    <w:p>
      <w:pPr>
        <w:pStyle w:val="Heading1"/>
        <w:spacing w:before="360" w:after="160"/>
      </w:pPr>
      <w:r>
        <w:rPr>
          <w:rFonts w:ascii="Arial" w:cs="Arial" w:eastAsia="Arial" w:hAnsi="Arial"/>
          <w:b/>
          <w:bCs/>
          <w:color w:val="2C4A2E"/>
          <w:sz w:val="32"/>
          <w:szCs w:val="32"/>
        </w:rPr>
        <w:t xml:space="preserve">Introduction</w:t>
      </w:r>
    </w:p>
    <w:p>
      <w:pPr>
        <w:spacing w:before="80" w:after="120" w:line="320"/>
        <w:jc w:val="both"/>
      </w:pPr>
      <w:r>
        <w:rPr>
          <w:rFonts w:ascii="Arial" w:cs="Arial" w:eastAsia="Arial" w:hAnsi="Arial"/>
          <w:b w:val="false"/>
          <w:bCs w:val="false"/>
          <w:color w:val="1A2B1B"/>
          <w:sz w:val="22"/>
          <w:szCs w:val="22"/>
        </w:rPr>
        <w:t xml:space="preserve">The purpose of this document is to provide a detailed written analysis of each wireframe page designed for the Greenfield Local Hub (GLH) digital solution. GLH is a cooperative of local farmers and food producers operating a single-location retail outlet, collective marketing platform and product management system. The digital solution has been designed to allow customers to view products with transparent pricing and availability, place orders for collection or delivery, and manage their accounts and order history, whilst also providing producers with a dashboard to manage stock levels, update product details and view orders.</w:t>
      </w:r>
    </w:p>
    <w:p>
      <w:pPr>
        <w:spacing w:before="80" w:after="80"/>
      </w:pPr>
      <w:r>
        <w:t xml:space="preserve"/>
      </w:r>
    </w:p>
    <w:p>
      <w:pPr>
        <w:spacing w:before="80" w:after="120" w:line="320"/>
        <w:jc w:val="both"/>
      </w:pPr>
      <w:r>
        <w:rPr>
          <w:rFonts w:ascii="Arial" w:cs="Arial" w:eastAsia="Arial" w:hAnsi="Arial"/>
          <w:b w:val="false"/>
          <w:bCs w:val="false"/>
          <w:color w:val="1A2B1B"/>
          <w:sz w:val="22"/>
          <w:szCs w:val="22"/>
        </w:rPr>
        <w:t xml:space="preserve">Each wireframe page is analysed in this document with reference to the colour scheme, font style, font sizes and the reasoning behind each design decision, with consideration given to the target audience throughout. The target audience for GLH is local households, families and individuals who wish to support local food producers and buy produce with full traceability, many of whom may range significantly in age and digital experience level, which has informed decisions around layout clarity, font sizing, contrast and interaction design.</w:t>
      </w:r>
    </w:p>
    <w:p>
      <w:pPr>
        <w:spacing w:before="80" w:after="80"/>
      </w:pPr>
      <w:r>
        <w:t xml:space="preserve"/>
      </w:r>
    </w:p>
    <w:p>
      <w:pPr>
        <w:spacing w:before="80" w:after="120" w:line="320"/>
        <w:jc w:val="both"/>
      </w:pPr>
      <w:r>
        <w:rPr>
          <w:rFonts w:ascii="Arial" w:cs="Arial" w:eastAsia="Arial" w:hAnsi="Arial"/>
          <w:b w:val="false"/>
          <w:bCs w:val="false"/>
          <w:color w:val="1A2B1B"/>
          <w:sz w:val="22"/>
          <w:szCs w:val="22"/>
        </w:rPr>
        <w:t xml:space="preserve">The site is built as a multi-page application covering the following pages as defined in the sitemap: Home, Products, Specific Product, Producers, Specific Producer, About Us, Contact Us, Login, Register, Account and Basket. The wireframe annotations which follow cover each of these pages in turn.</w:t>
      </w:r>
    </w:p>
    <w:p>
      <w:pPr>
        <w:pBdr>
          <w:bottom w:val="single" w:color="5A8F5E" w:sz="6" w:space="1"/>
        </w:pBdr>
        <w:spacing w:before="200" w:after="200"/>
      </w:pPr>
      <w:r>
        <w:t xml:space="preserve"/>
      </w:r>
    </w:p>
    <w:p>
      <w:pPr>
        <w:pStyle w:val="Heading1"/>
        <w:spacing w:before="360" w:after="160"/>
      </w:pPr>
      <w:r>
        <w:rPr>
          <w:rFonts w:ascii="Arial" w:cs="Arial" w:eastAsia="Arial" w:hAnsi="Arial"/>
          <w:b/>
          <w:bCs/>
          <w:color w:val="2C4A2E"/>
          <w:sz w:val="32"/>
          <w:szCs w:val="32"/>
        </w:rPr>
        <w:t xml:space="preserve">1. General Navigation Bar &amp; Footer</w:t>
      </w:r>
    </w:p>
    <w:p>
      <w:pPr>
        <w:spacing w:before="80" w:after="120" w:line="320"/>
        <w:jc w:val="both"/>
      </w:pPr>
      <w:r>
        <w:rPr>
          <w:rFonts w:ascii="Arial" w:cs="Arial" w:eastAsia="Arial" w:hAnsi="Arial"/>
          <w:b w:val="false"/>
          <w:bCs w:val="false"/>
          <w:color w:val="1A2B1B"/>
          <w:sz w:val="22"/>
          <w:szCs w:val="22"/>
        </w:rPr>
        <w:t xml:space="preserve">The navigation bar sits fixed at the top of every page throughout the Greenfield Local Hub website, maintaining consistent access to the site&amp;#x2019;s core sections at all times. It uses a deep forest green background, which was selected to immediately communicate the cooperative&amp;#x2019;s identity as a natural, locally rooted and environmentally aware organisation. The Cormorant Garamond serif font is used for the logo at 1.3rem and bold weight, lending the brand a sense of heritage, quality and trustworthiness that aligns with the cooperative model and the artisan nature of its producers. Navigation links are rendered in the Outfit sans-serif font at 0.85rem and medium weight in white, chosen for its clean, legible lines which maintain readability at smaller sizes on all device types. The contrast between white text and the deep green background meets accessibility standards and ensures all users, including those with visual impairments, can read and navigate without difficulty. On the right side, a basket icon with a numerical count badge in amber clearly communicates the number of items currently in the user&amp;#x2019;s basket without requiring them to leave the current page, reducing friction during the shopping journey. A &amp;#x201C;My Account&amp;#x201D; button sits alongside this, styled in a semi-transparent white to feel part of the navigation without competing with primary content.
The footer provides persistent access to secondary information and links at the bottom of every page, using the same deep text-dark background for visual consistency with the header. It is divided into four columns: the brand column which carries the GLH name and a short tagline reinforcing the cooperative&amp;#x2019;s values, followed by three navigational columns covering Shop, Information and Account links respectively. All footer headings are in Outfit at 0.8rem, uppercase and letter-spaced at 0.1em to create a clean hierarchy that is distinct from the body links below each heading. The footer text sits at 0.85rem to keep it readable without drawing attention away from the main page content. Social media buttons are rendered as small square icon containers rather than text links, keeping the area visually tidy. A thin horizontal divider separates the link columns from the copyright bar at the bottom, which displays legal and accessibility links at 0.78rem in a reduced opacity to signal secondary importance. The footer&amp;#x2019;s consistent presence ensures users always have access to navigation regardless of how far down a page they have scrolled, which is especially important on content-heavy pages such as About Us and Producers.</w:t>
      </w:r>
    </w:p>
    <w:p>
      <w:pPr>
        <w:pBdr>
          <w:bottom w:val="single" w:color="5A8F5E" w:sz="6" w:space="1"/>
        </w:pBdr>
        <w:spacing w:before="200" w:after="200"/>
      </w:pPr>
      <w:r>
        <w:t xml:space="preserve"/>
      </w:r>
    </w:p>
    <w:p>
      <w:pPr>
        <w:pStyle w:val="Heading1"/>
        <w:spacing w:before="360" w:after="160"/>
      </w:pPr>
      <w:r>
        <w:rPr>
          <w:rFonts w:ascii="Arial" w:cs="Arial" w:eastAsia="Arial" w:hAnsi="Arial"/>
          <w:b/>
          <w:bCs/>
          <w:color w:val="2C4A2E"/>
          <w:sz w:val="32"/>
          <w:szCs w:val="32"/>
        </w:rPr>
        <w:t xml:space="preserve">2. Home Page</w:t>
      </w:r>
    </w:p>
    <w:p>
      <w:pPr>
        <w:spacing w:before="80" w:after="120" w:line="320"/>
        <w:jc w:val="both"/>
      </w:pPr>
      <w:r>
        <w:rPr>
          <w:rFonts w:ascii="Arial" w:cs="Arial" w:eastAsia="Arial" w:hAnsi="Arial"/>
          <w:b w:val="false"/>
          <w:bCs w:val="false"/>
          <w:color w:val="1A2B1B"/>
          <w:sz w:val="22"/>
          <w:szCs w:val="22"/>
        </w:rPr>
        <w:t xml:space="preserve">The Home page wireframe was designed with the Greenfield Local Hub brief in mind, specifically addressing the requirement to inform customers about local producers, their methods and the benefits of buying locally, whilst also driving them towards browsing and ordering products. The overall layout follows conventions used by comparable farm-to-door and local food platforms, where users expect to immediately understand the service&amp;#x2019;s proposition before being guided towards action. The primary target audience includes local households, families and individuals with an interest in supporting local food systems, many of whom may also be less digitally experienced, which informed decisions around font size, spacing and layout clarity.
The hero section occupies the full width of the viewport and is split into two equal columns. The left column holds the primary marketing content on a sage-pale green background, which immediately communicates the natural and agricultural identity of the business without resorting to clich&amp;#xE9;d imagery. The Cormorant Garamond heading sits at a fluid clamp size scaling from 2.6rem to 4rem across screen sizes, chosen because its elegant serif character carries gravitas and a sense of quality, with an italic accent on the second line in the brand&amp;#x2019;s forest green to draw the eye to the cooperative&amp;#x2019;s key message. Supporting body text beneath uses the Outfit font at 1.02rem with a line height of 1.75, ensuring comfortable reading at all text sizes. Two call-to-action buttons are placed side by side: a primary amber &amp;#x201C;Shop Products&amp;#x201D; button and a secondary outlined &amp;#x201C;Meet Our Producers&amp;#x201D; button, giving the user two clear paths depending on their intent. The amber colour was selected for the primary CTA as it creates a warm contrast against the green and cream tones of the page, drawing the eye without feeling aggressive, which is particularly well suited to an audience that values community and warmth over high-pressure commercial tactics. Beneath the CTA buttons, three statistics show &amp;#x201C;200+ Local Farms&amp;#x201D;, &amp;#x201C;15yrs Delivering&amp;#x201D; and &amp;#x201C;50k+ Families Served&amp;#x201D;, using Cormorant Garamond for the numbers at 1.8rem to create a visually distinctive data display that builds trust quickly. The right column of the hero contains an image placeholder that is clearly labelled for replacement, with the forest-mid green background serving as a neutral but on-brand holding colour.
Immediately below the hero, a four-column features bar sits on a white background with a thin border above and below, providing a quick visual summary of the site&amp;#x2019;s key service features: Collection Available, Home Delivery, Full Traceability and Loyalty Rewards. Each feature is presented with a small icon in a sage-pale square, a bold label in Outfit at 0.88rem and a short descriptor at 0.78rem. This row is designed for rapid scanning by users who want to quickly confirm whether GLH meets their needs before committing further time to the page, which is especially important for first-time visitors.
The Featured Products section follows, presenting four product cards in a four-column grid with the section heading in Cormorant Garamond at the fluid clamp size. Each card displays a clearly labelled image placeholder, availability and category badges, the product name in Cormorant Garamond at 1.15rem, the producer name as a small caption below, a price in Cormorant Garamond at 1.3rem in the forest green, and an &amp;#x201C;Add&amp;#x201D; button. This structure mirrors the conventions of established online food retail, making it immediately intuitive for users. The &amp;#x201C;View All Products&amp;#x201D; outlined button is right-aligned with the section heading to give power users a direct path to the full catalogue without disrupting the casual browsing flow of others.
The page closes with a full-width two-column strip which acts as an about teaser. The left column holds a farm image placeholder and the right holds a short mission statement in white text on the forest green background, with an outlined &amp;#x201C;Learn More About Us&amp;#x201D; button. This section fulfils the brief&amp;#x2019;s requirement to communicate information about producers and the benefits of buying locally, whilst drawing users deeper into the site. The use of the full-width dark green background here creates a strong visual break that anchors the bottom of the page and reinforces the brand identity consistently.</w:t>
      </w:r>
    </w:p>
    <w:p>
      <w:pPr>
        <w:pBdr>
          <w:bottom w:val="single" w:color="5A8F5E" w:sz="6" w:space="1"/>
        </w:pBdr>
        <w:spacing w:before="200" w:after="200"/>
      </w:pPr>
      <w:r>
        <w:t xml:space="preserve"/>
      </w:r>
    </w:p>
    <w:p>
      <w:pPr>
        <w:pStyle w:val="Heading1"/>
        <w:spacing w:before="360" w:after="160"/>
      </w:pPr>
      <w:r>
        <w:rPr>
          <w:rFonts w:ascii="Arial" w:cs="Arial" w:eastAsia="Arial" w:hAnsi="Arial"/>
          <w:b/>
          <w:bCs/>
          <w:color w:val="2C4A2E"/>
          <w:sz w:val="32"/>
          <w:szCs w:val="32"/>
        </w:rPr>
        <w:t xml:space="preserve">3. Products Page</w:t>
      </w:r>
    </w:p>
    <w:p>
      <w:pPr>
        <w:spacing w:before="80" w:after="120" w:line="320"/>
        <w:jc w:val="both"/>
      </w:pPr>
      <w:r>
        <w:rPr>
          <w:rFonts w:ascii="Arial" w:cs="Arial" w:eastAsia="Arial" w:hAnsi="Arial"/>
          <w:b w:val="false"/>
          <w:bCs w:val="false"/>
          <w:color w:val="1A2B1B"/>
          <w:sz w:val="22"/>
          <w:szCs w:val="22"/>
        </w:rPr>
        <w:t xml:space="preserve">The Products page wireframe addresses the client brief&amp;#x2019;s requirement to allow customers to view products with transparent pricing and availability. The layout follows conventions established by leading online food retail and marketplace platforms, where a persistent filter panel alongside a browsable product grid is the expected pattern. This two-column layout with a 260px filter sidebar and a fluid product grid was chosen specifically because it allows users to narrow a potentially large catalogue of local goods quickly and without loading a new page, which reduces friction for users who may be shopping under time constraints.
The filter sidebar is presented as a white card with a thin border and slight shadow, sitting sticky beneath the navigation so it remains visible as the user scrolls through products. It opens with a search bar at the top, allowing users to immediately search by keyword if they already know what they are looking for, reducing reliance on visual browsing. Below this, filter groups are organised under clear uppercase labels: Category, Availability, Producer and Price Range. Each option uses a standard checkbox or radio input with the brand forest green as the accent colour, which was selected for its visual consistency across the page and its adherence to accessibility best practices, as the contrast ratio between the green accent and white background meets WCAG AA requirements. The filter panel heading uses Cormorant Garamond at 1.1rem to signal it as a distinct interface element without it feeling like editorial content, whilst all filter option labels are in Outfit at 0.88rem for clarity.
The main product area opens with a header row displaying the total count of visible products and a sort dropdown. This count provides immediate feedback to the user when filters are applied, confirming that the interface has responded to their input without needing to search the page for confirmation. The sort dropdown matches the form control styling used across the site, using the same border, radius and font. Below this, products are displayed in a three-column grid using identical card components to those on the Home page, maintaining visual consistency so that users are not cognitively reloaded when moving between pages. Each card shows a 180px image placeholder, availability and category badges, the product name, producer name, price and either an &amp;#x201C;Add&amp;#x201D; or &amp;#x201C;View&amp;#x201D; button. The slightly reduced image height compared to the Home page cards reflects the denser browsing context where users are comparing options rather than being introduced to them for the first time. The amber badge for low stock items was deliberately chosen to mirror the amber CTA colour, creating an intuitive visual language where amber consistently signals action or attention across the whole site.</w:t>
      </w:r>
    </w:p>
    <w:p>
      <w:pPr>
        <w:pBdr>
          <w:bottom w:val="single" w:color="5A8F5E" w:sz="6" w:space="1"/>
        </w:pBdr>
        <w:spacing w:before="200" w:after="200"/>
      </w:pPr>
      <w:r>
        <w:t xml:space="preserve"/>
      </w:r>
    </w:p>
    <w:p>
      <w:pPr>
        <w:pStyle w:val="Heading1"/>
        <w:spacing w:before="360" w:after="160"/>
      </w:pPr>
      <w:r>
        <w:rPr>
          <w:rFonts w:ascii="Arial" w:cs="Arial" w:eastAsia="Arial" w:hAnsi="Arial"/>
          <w:b/>
          <w:bCs/>
          <w:color w:val="2C4A2E"/>
          <w:sz w:val="32"/>
          <w:szCs w:val="32"/>
        </w:rPr>
        <w:t xml:space="preserve">4. Specific Product Page</w:t>
      </w:r>
    </w:p>
    <w:p>
      <w:pPr>
        <w:spacing w:before="80" w:after="120" w:line="320"/>
        <w:jc w:val="both"/>
      </w:pPr>
      <w:r>
        <w:rPr>
          <w:rFonts w:ascii="Arial" w:cs="Arial" w:eastAsia="Arial" w:hAnsi="Arial"/>
          <w:b w:val="false"/>
          <w:bCs w:val="false"/>
          <w:color w:val="1A2B1B"/>
          <w:sz w:val="22"/>
          <w:szCs w:val="22"/>
        </w:rPr>
        <w:t xml:space="preserve">The Specific Product page wireframe fulfils the brief&amp;#x2019;s core requirement of transparent pricing and product information, extending this to include full traceability data which is a key differentiator for GLH as a cooperative committed to honest food. The page opens with a breadcrumb navigation trail in Outfit at 0.82rem, with forest green links and a chevron separator icon. This provides context for the user, confirming exactly where they are in the site hierarchy and giving them a one-click route back to either the full product listing or the home page, reducing the risk of disorientation for less experienced users.
The main content area uses a two-column grid with the product image gallery occupying the left column and all product information in the right. The primary image placeholder is displayed at 440px height with a rounded border, giving it a premium framed appearance that elevates the perceived quality of the product. Below this, four smaller thumbnail image placeholders in a four-column grid allow the user to view multiple angles or presentation styles of the product, with the currently selected image indicated by a forest green border. This pattern mirrors convention on major e-commerce sites and will be immediately familiar to most users.
On the information side, the product name is rendered in Cormorant Garamond at a fluid size scaling from 1.8rem to 2.4rem, creating the most visually dominant text element on the page. Directly below, the producer attribution is shown as a small linked label at 0.9rem in forest light green with a house icon, making it clear and inviting for users to click through to the producer&amp;#x2019;s own page, which directly supports the brief&amp;#x2019;s requirement to inform customers about producers and their methods. The price is displayed in Cormorant Garamond at 2.2rem in the forest green, accompanied by the unit (per 500g) in Outfit at 1rem, providing complete pricing transparency at a glance. A stock status line in forest light green with a checkmark icon confirms availability without requiring the user to scroll or search.
The product description sits at 0.95rem with a generous line height of 1.75 for comfortable reading of longer text. A quantity selector with minus and plus buttons flanking a centred display allows the user to adjust how many units they wish to add, with a clear &amp;#x201C;Add to Basket&amp;#x201D; button in forest green spanning the available width to make the primary action unmissable. The traceability metadata table sits below the add-to-basket row, displaying producer, location, growing method, harvest time, allergens and a stock keeping unit reference in a clean two-column row layout with alternating thin borders between rows. This table directly addresses the brief&amp;#x2019;s emphasis on product traceability and transparency, giving customers verifiable information about what they are buying and from whom. All label text in the table is in Outfit at 0.88rem in the muted colour, with values in the same size at regular weight in the main text colour to create a clear distinction between field and data.</w:t>
      </w:r>
    </w:p>
    <w:p>
      <w:pPr>
        <w:pBdr>
          <w:bottom w:val="single" w:color="5A8F5E" w:sz="6" w:space="1"/>
        </w:pBdr>
        <w:spacing w:before="200" w:after="200"/>
      </w:pPr>
      <w:r>
        <w:t xml:space="preserve"/>
      </w:r>
    </w:p>
    <w:p>
      <w:pPr>
        <w:pStyle w:val="Heading1"/>
        <w:spacing w:before="360" w:after="160"/>
      </w:pPr>
      <w:r>
        <w:rPr>
          <w:rFonts w:ascii="Arial" w:cs="Arial" w:eastAsia="Arial" w:hAnsi="Arial"/>
          <w:b/>
          <w:bCs/>
          <w:color w:val="2C4A2E"/>
          <w:sz w:val="32"/>
          <w:szCs w:val="32"/>
        </w:rPr>
        <w:t xml:space="preserve">5. Producers Page</w:t>
      </w:r>
    </w:p>
    <w:p>
      <w:pPr>
        <w:spacing w:before="80" w:after="120" w:line="320"/>
        <w:jc w:val="both"/>
      </w:pPr>
      <w:r>
        <w:rPr>
          <w:rFonts w:ascii="Arial" w:cs="Arial" w:eastAsia="Arial" w:hAnsi="Arial"/>
          <w:b w:val="false"/>
          <w:bCs w:val="false"/>
          <w:color w:val="1A2B1B"/>
          <w:sz w:val="22"/>
          <w:szCs w:val="22"/>
        </w:rPr>
        <w:t xml:space="preserve">The Producers page wireframe directly addresses the client brief&amp;#x2019;s requirement to provide information about producers, their methods and the benefits of buying locally. The page opens with a sage-pale green hero section on a slightly off-white background, distinguishing it visually from the forest green heroes used on transactional pages such as Home and Contact. This lighter, softer background was chosen deliberately to reinforce the editorial and informational character of the page, signalling to the user that they are entering a space of discovery and storytelling rather than a commercial listing. The page heading uses Cormorant Garamond at the fluid clamp size with a supporting description in Outfit at 0.95rem in the muted text colour, with a comfortable line height of 1.7 to encourage reading.
The three-column producer card grid below uses the same card component pattern used throughout the site, maintaining the visual language the user will have encountered on the Home page and Products page. Each card presents a 220px image placeholder for a farm or producer photograph, clearly labelled for replacement, followed by category and practice badges such as &amp;#x201C;Pesticide-free&amp;#x201D; in the sage-pale green badge style. The producer name is in Cormorant Garamond at 1.3rem, the producer type and location are shown as small caption text at 0.8rem in the muted colour with a bullet separator, and a short description sits at 0.87rem in the mid text colour with a line height of 1.65 to maintain readability without overwhelming the card. Two producer stats are displayed at the bottom of each card&amp;#x2019;s text section, showing the number of products stocked and the approximate distance from the hub in miles, both using small icons in the sage colour to keep them subtle. These statistics were included specifically to communicate the local and traceable nature of the producers, reinforcing the cooperative&amp;#x2019;s core values and helping customers make informed decisions about who they are supporting. Each card closes with a full-width &amp;#x201C;View Producer&amp;#x201D; outlined button, directing users to the Specific Producer page for fuller information.</w:t>
      </w:r>
    </w:p>
    <w:p>
      <w:pPr>
        <w:pBdr>
          <w:bottom w:val="single" w:color="5A8F5E" w:sz="6" w:space="1"/>
        </w:pBdr>
        <w:spacing w:before="200" w:after="200"/>
      </w:pPr>
      <w:r>
        <w:t xml:space="preserve"/>
      </w:r>
    </w:p>
    <w:p>
      <w:pPr>
        <w:pStyle w:val="Heading1"/>
        <w:spacing w:before="360" w:after="160"/>
      </w:pPr>
      <w:r>
        <w:rPr>
          <w:rFonts w:ascii="Arial" w:cs="Arial" w:eastAsia="Arial" w:hAnsi="Arial"/>
          <w:b/>
          <w:bCs/>
          <w:color w:val="2C4A2E"/>
          <w:sz w:val="32"/>
          <w:szCs w:val="32"/>
        </w:rPr>
        <w:t xml:space="preserve">6. Specific Producer Page</w:t>
      </w:r>
    </w:p>
    <w:p>
      <w:pPr>
        <w:spacing w:before="80" w:after="120" w:line="320"/>
        <w:jc w:val="both"/>
      </w:pPr>
      <w:r>
        <w:rPr>
          <w:rFonts w:ascii="Arial" w:cs="Arial" w:eastAsia="Arial" w:hAnsi="Arial"/>
          <w:b w:val="false"/>
          <w:bCs w:val="false"/>
          <w:color w:val="1A2B1B"/>
          <w:sz w:val="22"/>
          <w:szCs w:val="22"/>
        </w:rPr>
        <w:t xml:space="preserve">The Specific Producer page wireframe provides the detailed editorial content that supports the brief&amp;#x2019;s requirement to communicate producer stories, growing methods and the benefits of buying locally. The page opens with a full-width two-column hero using the deep forest green background, mirroring the colour and structure of the about strip on the Home page to create a sense of visual continuity across the site&amp;#x2019;s producer-related content. The left column contains the producer information and the right contains a farm image placeholder. This reversal of the typical image-left convention was intentional, prioritising the text content given that this is primarily an informational page.
The producer section label appears at the top in the sage colour at 0.75rem uppercase, immediately orienting the user within the site hierarchy. The producer name is in Cormorant Garamond in white at a fluid clamp size, followed by a mission statement paragraph in Outfit at 0.97rem in a reduced-opacity white, providing comfortable reading contrast on the dark background without the starkness of pure white text. Below the description, a row of producer badges in the semi-transparent sage style communicates key credentials such as &amp;#x201C;Pesticide-free&amp;#x201D;, the producer&amp;#x2019;s county location and their member-since year. These badges were designed to be immediately scannable, giving users the most important qualifying information about the producer without needing to read the full paragraph text first.
Beneath the hero, the &amp;#x201C;Products from [Producer Name]&amp;#x201D; section uses the same four-column product card grid as the Home page featured products, with a slightly reduced image height of 160px appropriate for this secondary browsing context. A breadcrumb trail at the top of the page, using the same pattern as the Specific Product page, ensures users always know their position within the site and can navigate back to the full Producers listing with a single click. This page was intentionally kept focused, with the hero delivering the producer&amp;#x2019;s story and credentials and the product grid below providing an immediate pathway to purchase, closing the loop between discovery and action in a single linear scroll.</w:t>
      </w:r>
    </w:p>
    <w:p>
      <w:pPr>
        <w:pBdr>
          <w:bottom w:val="single" w:color="5A8F5E" w:sz="6" w:space="1"/>
        </w:pBdr>
        <w:spacing w:before="200" w:after="200"/>
      </w:pPr>
      <w:r>
        <w:t xml:space="preserve"/>
      </w:r>
    </w:p>
    <w:p>
      <w:pPr>
        <w:pStyle w:val="Heading1"/>
        <w:spacing w:before="360" w:after="160"/>
      </w:pPr>
      <w:r>
        <w:rPr>
          <w:rFonts w:ascii="Arial" w:cs="Arial" w:eastAsia="Arial" w:hAnsi="Arial"/>
          <w:b/>
          <w:bCs/>
          <w:color w:val="2C4A2E"/>
          <w:sz w:val="32"/>
          <w:szCs w:val="32"/>
        </w:rPr>
        <w:t xml:space="preserve">7. About Us Page</w:t>
      </w:r>
    </w:p>
    <w:p>
      <w:pPr>
        <w:spacing w:before="80" w:after="120" w:line="320"/>
        <w:jc w:val="both"/>
      </w:pPr>
      <w:r>
        <w:rPr>
          <w:rFonts w:ascii="Arial" w:cs="Arial" w:eastAsia="Arial" w:hAnsi="Arial"/>
          <w:b w:val="false"/>
          <w:bCs w:val="false"/>
          <w:color w:val="1A2B1B"/>
          <w:sz w:val="22"/>
          <w:szCs w:val="22"/>
        </w:rPr>
        <w:t xml:space="preserve">The About Us page wireframe addresses the brief&amp;#x2019;s requirement to provide information about the cooperative, its structure and its values, giving customers the context to understand why buying from GLH is different from a conventional retailer. The page opens with a two-column hero on the sage-pale green background, echoing the softer tone used on the Producers landing page, which reinforces the informational register of this section of the site. The left column carries the editorial content and the right holds a team or hub image placeholder at 380px height with rounded corners, the only page on the site where the primary image appears on the right of the text. This layout was chosen to allow the headline and opening paragraphs to be immediately visible as the user lands, which would be disrupted if the image occupied the left column.
The page heading in Cormorant Garamond runs across its full width at the fluid clamp size, with two supporting paragraphs in Outfit at 0.97rem and 1.75 line height, giving the cooperative&amp;#x2019;s founding story and core mission in clear, readable prose. The absence of a call-to-action button in this hero was deliberate, as this is a trust-building section rather than a conversion-focused one.
The Values section below uses the standard cream background and presents three value cards in a three-column grid. Each card has a 50px icon container in the sage-pale style with a Lucide icon in forest green, a Cormorant Garamond heading at 1.2rem and a short description in Outfit at 0.87rem in the muted colour. The three values presented are Transparency, Community and Sustainability, which directly map to the brief&amp;#x2019;s emphasis on traceability, collective marketing and the benefits of the cooperative model. The card structure was chosen over a simple text list because it breaks the content into visually distinct, scannable units, allowing users to absorb the values without reading continuously.
The Team section uses the full-width forest green background to create a strong visual contrast and signal a shift in content register, mirroring the colour treatment used in the Home page about strip. Four team member cards are displayed in a four-column grid, each with a portrait image placeholder, the team member&amp;#x2019;s name in Cormorant Garamond in white at 1.1rem and their role in Outfit in a reduced-opacity white at 0.8rem. The intentionally simple card design keeps the focus on the people rather than the visual presentation, which is appropriate for a cooperative business where the human element is central to the brand proposition.</w:t>
      </w:r>
    </w:p>
    <w:p>
      <w:pPr>
        <w:pBdr>
          <w:bottom w:val="single" w:color="5A8F5E" w:sz="6" w:space="1"/>
        </w:pBdr>
        <w:spacing w:before="200" w:after="200"/>
      </w:pPr>
      <w:r>
        <w:t xml:space="preserve"/>
      </w:r>
    </w:p>
    <w:p>
      <w:pPr>
        <w:pStyle w:val="Heading1"/>
        <w:spacing w:before="360" w:after="160"/>
      </w:pPr>
      <w:r>
        <w:rPr>
          <w:rFonts w:ascii="Arial" w:cs="Arial" w:eastAsia="Arial" w:hAnsi="Arial"/>
          <w:b/>
          <w:bCs/>
          <w:color w:val="2C4A2E"/>
          <w:sz w:val="32"/>
          <w:szCs w:val="32"/>
        </w:rPr>
        <w:t xml:space="preserve">8. Contact Us Page</w:t>
      </w:r>
    </w:p>
    <w:p>
      <w:pPr>
        <w:spacing w:before="80" w:after="120" w:line="320"/>
        <w:jc w:val="both"/>
      </w:pPr>
      <w:r>
        <w:rPr>
          <w:rFonts w:ascii="Arial" w:cs="Arial" w:eastAsia="Arial" w:hAnsi="Arial"/>
          <w:b w:val="false"/>
          <w:bCs w:val="false"/>
          <w:color w:val="1A2B1B"/>
          <w:sz w:val="22"/>
          <w:szCs w:val="22"/>
        </w:rPr>
        <w:t xml:space="preserve">The Contact Us page wireframe was designed to fulfil the brief&amp;#x2019;s implicit requirement for a channel through which customers, prospective producers and other stakeholders can communicate with GLH. The layout uses a two-column full-height split, with the left column in forest green carrying static contact information and the right column in the warm off-white cream carrying the contact form. This division was chosen to give the page a dual function in a single view: users who want immediate contact details find them instantly on the left, whilst users who prefer asynchronous communication can use the form on the right without having to scroll past introductory content to reach it.
The left sidebar opens with a section label in the reduced-opacity white sage style at 0.75rem, followed by the section heading in Cormorant Garamond in white at a fluid clamp size and a brief welcoming paragraph in Outfit at 0.95rem in the reduced-opacity white. Below this, four contact information items each pair a 40px icon container in the semi-transparent sage style with a Lucide icon alongside the contact detail itself, covering Address, Phone, Email and Opening Hours. Using icons rather than text labels alone was a deliberate accessibility consideration, as icons provide a visual cue that aids users with cognitive differences or those scanning rather than reading. Each item label sits at 0.75rem uppercase in the reduced-opacity white and the value beneath at 0.92rem in white with medium weight, creating a clear typographic hierarchy within each contact block.
The form area on the right opens with a Cormorant Garamond heading at 1.6rem and an information alert banner in the blue-tinted alert style, clearly notifying the user of the expected response time before they submit their message. The form itself collects first name, last name (in a two-column row), email address, a subject dropdown and a message textarea. The subject dropdown provides predefined categories including &amp;#x201C;Joining as a producer&amp;#x201D; and &amp;#x201C;Wholesale / trade&amp;#x201D;, which helps the GLH team triage enquiries efficiently whilst also confirming to producers and trade buyers that there is a dedicated route for their type of enquiry. The Send Message button uses the primary forest green button style with a send icon, maintaining the consistent primary action treatment used across the site. All form inputs use the standard form control styling at 0.9rem in Outfit with forest light green focus borders, ensuring the form is accessible and clearly interactive.</w:t>
      </w:r>
    </w:p>
    <w:p>
      <w:pPr>
        <w:pBdr>
          <w:bottom w:val="single" w:color="5A8F5E" w:sz="6" w:space="1"/>
        </w:pBdr>
        <w:spacing w:before="200" w:after="200"/>
      </w:pPr>
      <w:r>
        <w:t xml:space="preserve"/>
      </w:r>
    </w:p>
    <w:p>
      <w:pPr>
        <w:pStyle w:val="Heading1"/>
        <w:spacing w:before="360" w:after="160"/>
      </w:pPr>
      <w:r>
        <w:rPr>
          <w:rFonts w:ascii="Arial" w:cs="Arial" w:eastAsia="Arial" w:hAnsi="Arial"/>
          <w:b/>
          <w:bCs/>
          <w:color w:val="2C4A2E"/>
          <w:sz w:val="32"/>
          <w:szCs w:val="32"/>
        </w:rPr>
        <w:t xml:space="preserve">9. Login Page</w:t>
      </w:r>
    </w:p>
    <w:p>
      <w:pPr>
        <w:spacing w:before="80" w:after="120" w:line="320"/>
        <w:jc w:val="both"/>
      </w:pPr>
      <w:r>
        <w:rPr>
          <w:rFonts w:ascii="Arial" w:cs="Arial" w:eastAsia="Arial" w:hAnsi="Arial"/>
          <w:b w:val="false"/>
          <w:bCs w:val="false"/>
          <w:color w:val="1A2B1B"/>
          <w:sz w:val="22"/>
          <w:szCs w:val="22"/>
        </w:rPr>
        <w:t xml:space="preserve">The Login page wireframe uses a two-column layout that splits the full viewport height, with the left column in forest green carrying contextual marketing content and the right column in the warm off-white background carrying the form. This structure was chosen to avoid presenting the user with a blank and purely functional login experience, instead reinforcing the GLH brand and the value of having an account even at the moment of authentication. The left column carries a section label, a heading in Cormorant Garamond in white and a short supporting paragraph explaining the benefits of signing in, followed by a clearly labelled image placeholder that can be replaced with a farm or community photograph to further humanise the experience. This approach aligns with the brief&amp;#x2019;s requirement to encourage customers to manage their accounts and view their order history, by framing account access as an appealing feature rather than a bureaucratic necessity.
The right column contains the authentication form centred within a maximum width of 420px, ensuring the form does not stretch uncomfortably on wide screens. The form opens with a Cormorant Garamond heading at 1.9rem and a short subtitle in Outfit at 0.88rem in the muted colour, establishing the purpose of the page clearly. The email and password inputs follow standard form control styling, with clear placeholder text and consistent focus states. A row below the password field provides a &amp;#x201C;Remember me&amp;#x201D; checkbox with an Outfit label at 0.85rem and a &amp;#x201C;Forgot password?&amp;#x201D; link in the forest green colour, offering recovery support without disrupting the main login flow. The primary &amp;#x201C;Sign In&amp;#x201D; button uses the full-width forest green primary button style, making it the single most visually prominent interactive element in the form area.
Beneath the button, an account creation prompt links to the Register page using a forest green anchor link, and the overall page structure ensures there is no ambiguity about whether the user should be logging in or registering. The split layout means the form side always remains visually uncluttered, supporting users who may find dense interfaces difficult to navigate, which is an important consideration given the brief&amp;#x2019;s emphasis on accessibility for a wide range of users.</w:t>
      </w:r>
    </w:p>
    <w:p>
      <w:pPr>
        <w:pBdr>
          <w:bottom w:val="single" w:color="5A8F5E" w:sz="6" w:space="1"/>
        </w:pBdr>
        <w:spacing w:before="200" w:after="200"/>
      </w:pPr>
      <w:r>
        <w:t xml:space="preserve"/>
      </w:r>
    </w:p>
    <w:p>
      <w:pPr>
        <w:pStyle w:val="Heading1"/>
        <w:spacing w:before="360" w:after="160"/>
      </w:pPr>
      <w:r>
        <w:rPr>
          <w:rFonts w:ascii="Arial" w:cs="Arial" w:eastAsia="Arial" w:hAnsi="Arial"/>
          <w:b/>
          <w:bCs/>
          <w:color w:val="2C4A2E"/>
          <w:sz w:val="32"/>
          <w:szCs w:val="32"/>
        </w:rPr>
        <w:t xml:space="preserve">10. Register Page</w:t>
      </w:r>
    </w:p>
    <w:p>
      <w:pPr>
        <w:spacing w:before="80" w:after="120" w:line="320"/>
        <w:jc w:val="both"/>
      </w:pPr>
      <w:r>
        <w:rPr>
          <w:rFonts w:ascii="Arial" w:cs="Arial" w:eastAsia="Arial" w:hAnsi="Arial"/>
          <w:b w:val="false"/>
          <w:bCs w:val="false"/>
          <w:color w:val="1A2B1B"/>
          <w:sz w:val="22"/>
          <w:szCs w:val="22"/>
        </w:rPr>
        <w:t xml:space="preserve">The Register page wireframe follows the same two-column split layout as the Login page, deliberately maintaining visual consistency between these two closely related journeys. A user who clicks through from the login page to register, or vice versa, is not confronted with a jarring change in layout or visual language, reducing the cognitive overhead of switching between the two. The left column again uses the forest green background with contextual content, and the right column carries the form in the warm off-white background. This consistency was a deliberate design decision in line with the brief&amp;#x2019;s emphasis on accessibility and a wide range of user support, as predictable layouts are particularly beneficial for users with cognitive or learning differences.
The registration form collects first and last name in a two-column row to reduce the vertical length of the form, followed by email address, password, and postcode fields. The postcode field was included because, as the brief specifies that GLH offers both collection and delivery options, the postcode is necessary to determine delivery eligibility and calculate delivery charges at the point of account creation rather than at checkout, reducing friction later in the purchase journey. A hint text at 0.78rem beneath the postcode field explains this purpose clearly, following accessibility best practice of providing contextual information at the point of input rather than in separate documentation. Two checkboxes for Terms and Conditions agreement are provided with linked text in forest green, giving the user visibility of policies before committing. The &amp;#x201C;Create Account&amp;#x201D; CTA uses the same full-width primary forest green button style as the login form, and a sign-in link beneath redirects existing users, mirroring the structure of the Login page for complete symmetry between the two forms.</w:t>
      </w:r>
    </w:p>
    <w:p>
      <w:pPr>
        <w:pBdr>
          <w:bottom w:val="single" w:color="5A8F5E" w:sz="6" w:space="1"/>
        </w:pBdr>
        <w:spacing w:before="200" w:after="200"/>
      </w:pPr>
      <w:r>
        <w:t xml:space="preserve"/>
      </w:r>
    </w:p>
    <w:p>
      <w:pPr>
        <w:pStyle w:val="Heading1"/>
        <w:spacing w:before="360" w:after="160"/>
      </w:pPr>
      <w:r>
        <w:rPr>
          <w:rFonts w:ascii="Arial" w:cs="Arial" w:eastAsia="Arial" w:hAnsi="Arial"/>
          <w:b/>
          <w:bCs/>
          <w:color w:val="2C4A2E"/>
          <w:sz w:val="32"/>
          <w:szCs w:val="32"/>
        </w:rPr>
        <w:t xml:space="preserve">11. Account Page</w:t>
      </w:r>
    </w:p>
    <w:p>
      <w:pPr>
        <w:spacing w:before="80" w:after="120" w:line="320"/>
        <w:jc w:val="both"/>
      </w:pPr>
      <w:r>
        <w:rPr>
          <w:rFonts w:ascii="Arial" w:cs="Arial" w:eastAsia="Arial" w:hAnsi="Arial"/>
          <w:b w:val="false"/>
          <w:bCs w:val="false"/>
          <w:color w:val="1A2B1B"/>
          <w:sz w:val="22"/>
          <w:szCs w:val="22"/>
        </w:rPr>
        <w:t xml:space="preserve">The Account page wireframe is the most feature-rich page in the GLH site, addressing three distinct brief requirements simultaneously: allowing customers to manage their accounts, view order history, and participate in the loyalty scheme. The page uses a two-column layout with a 260px sticky sidebar on the left and the main content area on the right, which is consistent with the layout pattern used on the Products page, creating a familiar interface pattern for users who have already browsed the catalogue.
The sidebar opens with an account avatar section using the forest green background, displaying a circular icon container alongside the user&amp;#x2019;s name in Outfit at 0.95rem in white and their email address at 0.78rem in a reduced-opacity white. Below this, four navigation links allow the user to switch between Order History, Loyalty Rewards, Personal Details and Delivery Addresses without leaving the page. Each link uses a Lucide icon alongside the label text at 0.88rem, with the active tab highlighted in the sage-pale green with the forest green text and icon colour, providing clear visual feedback about the current section.
The Order History tab presents past orders as individual cards, each with a header row showing the order ID and date alongside a status badge. Order items within each card list the product icon placeholder, product name, quantity and line price in a clean row layout at 0.87rem. Order totals and fulfilment method are shown in a footer row at the bottom of each card. An information alert at the top of the orders tab notifies the user of their next scheduled delivery date, which directly supports the brief&amp;#x2019;s requirement for order management and tracking features.
The Loyalty Rewards tab presents a full-width gradient card in forest green with the user&amp;#x2019;s current points balance in Cormorant Garamond at 2.5rem, a supporting label explaining how many points are needed for the next reward, and a visual progress bar using the sage green fill colour. Below this card, three reward options are displayed in a three-column grid, each showing the reward name, description and the points threshold required. This layout gives the user a clear picture of what they are working towards, which is designed to encourage repeat purchasing behaviour in line with the brief&amp;#x2019;s requirement for a loyalty scheme providing discounts and special offers.
The Personal Details tab presents an editable form for name, email and phone number in a white card capped at 560px width, preventing uncomfortable stretching on wide screens. The Delivery Addresses tab shows the user&amp;#x2019;s saved addresses as bordered cards, with the default address indicated by a forest green border and a green &amp;#x201C;Default&amp;#x201D; badge, alongside edit and add-new controls. The overall Account page structure ensures that all account management tasks are available within a single consistent interface, reducing the need for users to navigate away to accomplish different goals.</w:t>
      </w:r>
    </w:p>
    <w:p>
      <w:pPr>
        <w:pBdr>
          <w:bottom w:val="single" w:color="5A8F5E" w:sz="6" w:space="1"/>
        </w:pBdr>
        <w:spacing w:before="200" w:after="200"/>
      </w:pPr>
      <w:r>
        <w:t xml:space="preserve"/>
      </w:r>
    </w:p>
    <w:p>
      <w:pPr>
        <w:pStyle w:val="Heading1"/>
        <w:spacing w:before="360" w:after="160"/>
      </w:pPr>
      <w:r>
        <w:rPr>
          <w:rFonts w:ascii="Arial" w:cs="Arial" w:eastAsia="Arial" w:hAnsi="Arial"/>
          <w:b/>
          <w:bCs/>
          <w:color w:val="2C4A2E"/>
          <w:sz w:val="32"/>
          <w:szCs w:val="32"/>
        </w:rPr>
        <w:t xml:space="preserve">12. Basket Page</w:t>
      </w:r>
    </w:p>
    <w:p>
      <w:pPr>
        <w:spacing w:before="80" w:after="120" w:line="320"/>
        <w:jc w:val="both"/>
      </w:pPr>
      <w:r>
        <w:rPr>
          <w:rFonts w:ascii="Arial" w:cs="Arial" w:eastAsia="Arial" w:hAnsi="Arial"/>
          <w:b w:val="false"/>
          <w:bCs w:val="false"/>
          <w:color w:val="1A2B1B"/>
          <w:sz w:val="22"/>
          <w:szCs w:val="22"/>
        </w:rPr>
        <w:t xml:space="preserve">The Basket page wireframe addresses the brief&amp;#x2019;s requirement to allow customers to place orders for collection or delivery, presenting the final stage of the purchase journey before payment. The page uses a two-column layout with the basket items occupying the wider left column and the order summary sticky panel occupying a 340px right column, which is a standard pattern on e-commerce sites that users will recognise and find immediately intuitive. The page opens with a sage-pale green header strip carrying the &amp;#x201C;Your Basket&amp;#x201D; heading in Cormorant Garamond at the fluid clamp size, creating a clear visual transition from the browsing pages into the checkout context.
Each basket item is presented as a three-column card: the product image placeholder at 88px square in the sage-pale style, the product information and controls in the centre, and the line price in Cormorant Garamond at 1.3rem in the forest green on the right. The product information area within each item card shows the product name at 1.1rem in Cormorant Garamond, a small producer and variant caption at 0.78rem in the muted colour, a quantity selector using the same minus-display-plus pattern as the Specific Product page for consistency, and a trash icon remove button which changes to the red colour on hover, providing clear visual feedback of the destructive action. Matching the quantity selector design to that used on the product page creates a coherent and predictable interface, which is an important accessibility consideration.
The order summary panel is sticky, remaining in view as the user scrolls through multiple basket items. It opens with a Cormorant Garamond heading and displays a breakdown of the subtotal, any applied loyalty discount in forest green with a minus prefix, the delivery charge and the total, each as a row with the label and value at opposite ends. The total row uses Cormorant Garamond at 1.2rem in the forest green to create a distinctive visual treatment for the most important figure on the page. A delivery options section below the summary rows uses radio inputs to let the user choose between collection and home delivery, with a short description of each option including the associated cost, directly fulfilling the brief&amp;#x2019;s requirement to support both fulfilment modes. A promo and loyalty code input field with an apply button sits above the place order CTA, acknowledging the brief&amp;#x2019;s loyalty scheme requirement at the point of purchase. The amber &amp;#x201C;Place Order&amp;#x201D; button uses the amber primary style to signal the final committed action, distinguishing it from the forest green used for add-to-basket actions earlier in the journey. A small trust note beneath the button in muted text at 0.78rem confirms secure checkout and email confirmation, reducing any anxiety the user may have about submitting their order.</w:t>
      </w:r>
    </w:p>
    <w:p>
      <w:pPr>
        <w:pBdr>
          <w:bottom w:val="single" w:color="5A8F5E" w:sz="6" w:space="1"/>
        </w:pBdr>
        <w:spacing w:before="200" w:after="200"/>
      </w:pPr>
      <w:r>
        <w:t xml:space="preserve"/>
      </w:r>
    </w:p>
    <w:p>
      <w:pPr>
        <w:pStyle w:val="Heading1"/>
        <w:spacing w:before="360" w:after="160"/>
      </w:pPr>
      <w:r>
        <w:rPr>
          <w:rFonts w:ascii="Arial" w:cs="Arial" w:eastAsia="Arial" w:hAnsi="Arial"/>
          <w:b/>
          <w:bCs/>
          <w:color w:val="2C4A2E"/>
          <w:sz w:val="32"/>
          <w:szCs w:val="32"/>
        </w:rPr>
        <w:t xml:space="preserve">Colour Scheme Summary</w:t>
      </w:r>
    </w:p>
    <w:p>
      <w:pPr>
        <w:spacing w:before="80" w:after="120" w:line="320"/>
        <w:jc w:val="both"/>
      </w:pPr>
      <w:r>
        <w:rPr>
          <w:rFonts w:ascii="Arial" w:cs="Arial" w:eastAsia="Arial" w:hAnsi="Arial"/>
          <w:b w:val="false"/>
          <w:bCs w:val="false"/>
          <w:color w:val="1A2B1B"/>
          <w:sz w:val="22"/>
          <w:szCs w:val="22"/>
        </w:rPr>
        <w:t xml:space="preserve">The following colour palette was applied consistently across all pages of the GLH wireframe design:</w:t>
      </w:r>
    </w:p>
    <w:p>
      <w:pPr>
        <w:spacing w:before="60" w:after="60"/>
      </w:pPr>
      <w:r>
        <w:t xml:space="preserve"/>
      </w:r>
    </w:p>
    <w:p>
      <w:pPr>
        <w:spacing w:before="80" w:after="80"/>
      </w:pPr>
      <w:r>
        <w:rPr>
          <w:rFonts w:ascii="Arial" w:cs="Arial" w:eastAsia="Arial" w:hAnsi="Arial"/>
          <w:b/>
          <w:bCs/>
          <w:color w:val="2C4A2E"/>
          <w:sz w:val="22"/>
          <w:szCs w:val="22"/>
        </w:rPr>
        <w:t xml:space="preserve">Forest Green (#2C4A2E)</w:t>
      </w:r>
      <w:r>
        <w:rPr>
          <w:rFonts w:ascii="Arial" w:cs="Arial" w:eastAsia="Arial" w:hAnsi="Arial"/>
          <w:color w:val="1A2B1B"/>
          <w:sz w:val="22"/>
          <w:szCs w:val="22"/>
        </w:rPr>
        <w:t xml:space="preserve">  —  Primary brand colour. Used for navigation, headings, buttons, hero backgrounds on transactional pages and key interactive elements. Communicates trust, nature and the cooperative’s agricultural identity.</w:t>
      </w:r>
    </w:p>
    <w:p>
      <w:pPr>
        <w:spacing w:before="80" w:after="80"/>
      </w:pPr>
      <w:r>
        <w:rPr>
          <w:rFonts w:ascii="Arial" w:cs="Arial" w:eastAsia="Arial" w:hAnsi="Arial"/>
          <w:b/>
          <w:bCs/>
          <w:color w:val="5A8F5E"/>
          <w:sz w:val="22"/>
          <w:szCs w:val="22"/>
        </w:rPr>
        <w:t xml:space="preserve">Sage Green (#5A8F5E / #8AAB7E)</w:t>
      </w:r>
      <w:r>
        <w:rPr>
          <w:rFonts w:ascii="Arial" w:cs="Arial" w:eastAsia="Arial" w:hAnsi="Arial"/>
          <w:color w:val="1A2B1B"/>
          <w:sz w:val="22"/>
          <w:szCs w:val="22"/>
        </w:rPr>
        <w:t xml:space="preserve">  —  Secondary accent. Used for section labels, icon colours, progress bars and badge backgrounds. Provides a lighter natural complement to the forest green without reducing contrast.</w:t>
      </w:r>
    </w:p>
    <w:p>
      <w:pPr>
        <w:spacing w:before="80" w:after="80"/>
      </w:pPr>
      <w:r>
        <w:rPr>
          <w:rFonts w:ascii="Arial" w:cs="Arial" w:eastAsia="Arial" w:hAnsi="Arial"/>
          <w:b/>
          <w:bCs/>
          <w:color w:val="C97C2A"/>
          <w:sz w:val="22"/>
          <w:szCs w:val="22"/>
        </w:rPr>
        <w:t xml:space="preserve">Amber (#C97C2A)</w:t>
      </w:r>
      <w:r>
        <w:rPr>
          <w:rFonts w:ascii="Arial" w:cs="Arial" w:eastAsia="Arial" w:hAnsi="Arial"/>
          <w:color w:val="1A2B1B"/>
          <w:sz w:val="22"/>
          <w:szCs w:val="22"/>
        </w:rPr>
        <w:t xml:space="preserve">  —  Call to action accent. Used exclusively for the primary CTA button on the home hero and the final place order button in the basket. Creates warm urgency without aggression.</w:t>
      </w:r>
    </w:p>
    <w:p>
      <w:pPr>
        <w:spacing w:before="80" w:after="80"/>
      </w:pPr>
      <w:r>
        <w:rPr>
          <w:rFonts w:ascii="Arial" w:cs="Arial" w:eastAsia="Arial" w:hAnsi="Arial"/>
          <w:b/>
          <w:bCs/>
          <w:color w:val="8B7355"/>
          <w:sz w:val="22"/>
          <w:szCs w:val="22"/>
        </w:rPr>
        <w:t xml:space="preserve">Cream / Warm White (#F8F5EF / #FAF7F2)</w:t>
      </w:r>
      <w:r>
        <w:rPr>
          <w:rFonts w:ascii="Arial" w:cs="Arial" w:eastAsia="Arial" w:hAnsi="Arial"/>
          <w:color w:val="1A2B1B"/>
          <w:sz w:val="22"/>
          <w:szCs w:val="22"/>
        </w:rPr>
        <w:t xml:space="preserve">  —  Page background. Avoids the clinical harshness of pure white whilst maintaining readability and a clean, premium aesthetic appropriate for artisan food retail.</w:t>
      </w:r>
    </w:p>
    <w:p>
      <w:pPr>
        <w:spacing w:before="80" w:after="80"/>
      </w:pPr>
      <w:r>
        <w:rPr>
          <w:rFonts w:ascii="Arial" w:cs="Arial" w:eastAsia="Arial" w:hAnsi="Arial"/>
          <w:b/>
          <w:bCs/>
          <w:color w:val="6B8F68"/>
          <w:sz w:val="22"/>
          <w:szCs w:val="22"/>
        </w:rPr>
        <w:t xml:space="preserve">Sage Pale (#E8F0E6)</w:t>
      </w:r>
      <w:r>
        <w:rPr>
          <w:rFonts w:ascii="Arial" w:cs="Arial" w:eastAsia="Arial" w:hAnsi="Arial"/>
          <w:color w:val="1A2B1B"/>
          <w:sz w:val="22"/>
          <w:szCs w:val="22"/>
        </w:rPr>
        <w:t xml:space="preserve">  —  Subtle background for hero sections on informational pages such as Producers and About Us, badge backgrounds and icon containers. Differentiates editorial content from transactional content.</w:t>
      </w:r>
    </w:p>
    <w:p>
      <w:pPr>
        <w:pBdr>
          <w:bottom w:val="single" w:color="5A8F5E" w:sz="6" w:space="1"/>
        </w:pBdr>
        <w:spacing w:before="200" w:after="200"/>
      </w:pPr>
      <w:r>
        <w:t xml:space="preserve"/>
      </w:r>
    </w:p>
    <w:p>
      <w:pPr>
        <w:pStyle w:val="Heading1"/>
        <w:spacing w:before="360" w:after="160"/>
      </w:pPr>
      <w:r>
        <w:rPr>
          <w:rFonts w:ascii="Arial" w:cs="Arial" w:eastAsia="Arial" w:hAnsi="Arial"/>
          <w:b/>
          <w:bCs/>
          <w:color w:val="2C4A2E"/>
          <w:sz w:val="32"/>
          <w:szCs w:val="32"/>
        </w:rPr>
        <w:t xml:space="preserve">Typography Summary</w:t>
      </w:r>
    </w:p>
    <w:p>
      <w:pPr>
        <w:spacing w:before="80" w:after="120" w:line="320"/>
        <w:jc w:val="both"/>
      </w:pPr>
      <w:r>
        <w:rPr>
          <w:rFonts w:ascii="Arial" w:cs="Arial" w:eastAsia="Arial" w:hAnsi="Arial"/>
          <w:b w:val="false"/>
          <w:bCs w:val="false"/>
          <w:color w:val="1A2B1B"/>
          <w:sz w:val="22"/>
          <w:szCs w:val="22"/>
        </w:rPr>
        <w:t xml:space="preserve">Two font families were used throughout the GLH wireframe design, selected to balance character and readability across a wide range of users and screen sizes:</w:t>
      </w:r>
    </w:p>
    <w:p>
      <w:pPr>
        <w:spacing w:before="60" w:after="60"/>
      </w:pPr>
      <w:r>
        <w:t xml:space="preserve"/>
      </w:r>
    </w:p>
    <w:p>
      <w:pPr>
        <w:spacing w:before="100" w:after="80"/>
      </w:pPr>
      <w:r>
        <w:rPr>
          <w:rFonts w:ascii="Arial" w:cs="Arial" w:eastAsia="Arial" w:hAnsi="Arial"/>
          <w:b/>
          <w:bCs/>
          <w:color w:val="2C4A2E"/>
          <w:sz w:val="24"/>
          <w:szCs w:val="24"/>
        </w:rPr>
        <w:t xml:space="preserve">Cormorant Garamond (Serif)  —  Display &amp; Headings</w:t>
      </w:r>
    </w:p>
    <w:p>
      <w:pPr>
        <w:spacing w:before="80" w:after="120" w:line="320"/>
        <w:jc w:val="both"/>
      </w:pPr>
      <w:r>
        <w:rPr>
          <w:rFonts w:ascii="Arial" w:cs="Arial" w:eastAsia="Arial" w:hAnsi="Arial"/>
          <w:b w:val="false"/>
          <w:bCs w:val="false"/>
          <w:color w:val="1A2B1B"/>
          <w:sz w:val="22"/>
          <w:szCs w:val="22"/>
        </w:rPr>
        <w:t xml:space="preserve">Used for all page headings, product names, prices and the site logo. Its elegant serif character communicates quality, heritage and authenticity which is well suited to an artisan food cooperative. It is never used for body copy or small interface labels where its thin strokes would reduce legibility at small sizes.</w:t>
      </w:r>
    </w:p>
    <w:p>
      <w:pPr>
        <w:spacing w:before="60" w:after="60"/>
      </w:pPr>
      <w:r>
        <w:t xml:space="preserve"/>
      </w:r>
    </w:p>
    <w:p>
      <w:pPr>
        <w:spacing w:before="100" w:after="80"/>
      </w:pPr>
      <w:r>
        <w:rPr>
          <w:rFonts w:ascii="Arial" w:cs="Arial" w:eastAsia="Arial" w:hAnsi="Arial"/>
          <w:b/>
          <w:bCs/>
          <w:color w:val="2C4A2E"/>
          <w:sz w:val="24"/>
          <w:szCs w:val="24"/>
        </w:rPr>
        <w:t xml:space="preserve">Outfit (Sans-serif)  —  Body, Navigation &amp; Interface</w:t>
      </w:r>
    </w:p>
    <w:p>
      <w:pPr>
        <w:spacing w:before="80" w:after="120" w:line="320"/>
        <w:jc w:val="both"/>
      </w:pPr>
      <w:r>
        <w:rPr>
          <w:rFonts w:ascii="Arial" w:cs="Arial" w:eastAsia="Arial" w:hAnsi="Arial"/>
          <w:b w:val="false"/>
          <w:bCs w:val="false"/>
          <w:color w:val="1A2B1B"/>
          <w:sz w:val="22"/>
          <w:szCs w:val="22"/>
        </w:rPr>
        <w:t xml:space="preserve">Used for all body text, navigation links, form labels, button labels, captions and metadata. Its clean geometric proportions and wide range of weights make it versatile and highly legible across screen sizes and at small text sizes. It is compatible with assistive technologies including screen readers.</w:t>
      </w:r>
    </w:p>
    <w:p>
      <w:pPr>
        <w:spacing w:before="100" w:after="100"/>
      </w:pPr>
      <w:r>
        <w:t xml:space="preserve"/>
      </w:r>
    </w:p>
    <w:p>
      <w:pPr>
        <w:pStyle w:val="Heading2"/>
        <w:spacing w:before="280" w:after="120"/>
      </w:pPr>
      <w:r>
        <w:rPr>
          <w:rFonts w:ascii="Arial" w:cs="Arial" w:eastAsia="Arial" w:hAnsi="Arial"/>
          <w:b/>
          <w:bCs/>
          <w:color w:val="2C4A2E"/>
          <w:sz w:val="26"/>
          <w:szCs w:val="26"/>
        </w:rPr>
        <w:t xml:space="preserve">Font Sizes by Context</w:t>
      </w:r>
    </w:p>
    <w:p>
      <w:pPr>
        <w:spacing w:before="80" w:after="60"/>
      </w:pPr>
      <w:r>
        <w:rPr>
          <w:rFonts w:ascii="Arial" w:cs="Arial" w:eastAsia="Arial" w:hAnsi="Arial"/>
          <w:b/>
          <w:bCs/>
          <w:sz w:val="22"/>
          <w:szCs w:val="22"/>
        </w:rPr>
        <w:t xml:space="preserve">Hero headings:</w:t>
      </w:r>
      <w:r>
        <w:rPr>
          <w:rFonts w:ascii="Arial" w:cs="Arial" w:eastAsia="Arial" w:hAnsi="Arial"/>
          <w:color w:val="555555"/>
          <w:sz w:val="22"/>
          <w:szCs w:val="22"/>
        </w:rPr>
        <w:t xml:space="preserve">  clamp(2.6rem – 4rem) on desktop, scaling fluidly on smaller screens</w:t>
      </w:r>
    </w:p>
    <w:p>
      <w:pPr>
        <w:spacing w:before="60" w:after="60"/>
      </w:pPr>
      <w:r>
        <w:rPr>
          <w:rFonts w:ascii="Arial" w:cs="Arial" w:eastAsia="Arial" w:hAnsi="Arial"/>
          <w:b/>
          <w:bCs/>
          <w:sz w:val="22"/>
          <w:szCs w:val="22"/>
        </w:rPr>
        <w:t xml:space="preserve">Section titles (h2):</w:t>
      </w:r>
      <w:r>
        <w:rPr>
          <w:rFonts w:ascii="Arial" w:cs="Arial" w:eastAsia="Arial" w:hAnsi="Arial"/>
          <w:color w:val="555555"/>
          <w:sz w:val="22"/>
          <w:szCs w:val="22"/>
        </w:rPr>
        <w:t xml:space="preserve">  clamp(1.9rem – 2.8rem)</w:t>
      </w:r>
    </w:p>
    <w:p>
      <w:pPr>
        <w:spacing w:before="60" w:after="60"/>
      </w:pPr>
      <w:r>
        <w:rPr>
          <w:rFonts w:ascii="Arial" w:cs="Arial" w:eastAsia="Arial" w:hAnsi="Arial"/>
          <w:b/>
          <w:bCs/>
          <w:sz w:val="22"/>
          <w:szCs w:val="22"/>
        </w:rPr>
        <w:t xml:space="preserve">Product &amp; producer names:</w:t>
      </w:r>
      <w:r>
        <w:rPr>
          <w:rFonts w:ascii="Arial" w:cs="Arial" w:eastAsia="Arial" w:hAnsi="Arial"/>
          <w:color w:val="555555"/>
          <w:sz w:val="22"/>
          <w:szCs w:val="22"/>
        </w:rPr>
        <w:t xml:space="preserve">  1.15rem – 1.3rem (Cormorant Garamond)</w:t>
      </w:r>
    </w:p>
    <w:p>
      <w:pPr>
        <w:spacing w:before="60" w:after="60"/>
      </w:pPr>
      <w:r>
        <w:rPr>
          <w:rFonts w:ascii="Arial" w:cs="Arial" w:eastAsia="Arial" w:hAnsi="Arial"/>
          <w:b/>
          <w:bCs/>
          <w:sz w:val="22"/>
          <w:szCs w:val="22"/>
        </w:rPr>
        <w:t xml:space="preserve">Product detail name:</w:t>
      </w:r>
      <w:r>
        <w:rPr>
          <w:rFonts w:ascii="Arial" w:cs="Arial" w:eastAsia="Arial" w:hAnsi="Arial"/>
          <w:color w:val="555555"/>
          <w:sz w:val="22"/>
          <w:szCs w:val="22"/>
        </w:rPr>
        <w:t xml:space="preserve">  clamp(1.8rem – 2.4rem) (Cormorant Garamond)</w:t>
      </w:r>
    </w:p>
    <w:p>
      <w:pPr>
        <w:spacing w:before="60" w:after="60"/>
      </w:pPr>
      <w:r>
        <w:rPr>
          <w:rFonts w:ascii="Arial" w:cs="Arial" w:eastAsia="Arial" w:hAnsi="Arial"/>
          <w:b/>
          <w:bCs/>
          <w:sz w:val="22"/>
          <w:szCs w:val="22"/>
        </w:rPr>
        <w:t xml:space="preserve">Prices:</w:t>
      </w:r>
      <w:r>
        <w:rPr>
          <w:rFonts w:ascii="Arial" w:cs="Arial" w:eastAsia="Arial" w:hAnsi="Arial"/>
          <w:color w:val="555555"/>
          <w:sz w:val="22"/>
          <w:szCs w:val="22"/>
        </w:rPr>
        <w:t xml:space="preserve">  1.3rem on cards, 2.2rem on detail page (Cormorant Garamond)</w:t>
      </w:r>
    </w:p>
    <w:p>
      <w:pPr>
        <w:spacing w:before="60" w:after="60"/>
      </w:pPr>
      <w:r>
        <w:rPr>
          <w:rFonts w:ascii="Arial" w:cs="Arial" w:eastAsia="Arial" w:hAnsi="Arial"/>
          <w:b/>
          <w:bCs/>
          <w:sz w:val="22"/>
          <w:szCs w:val="22"/>
        </w:rPr>
        <w:t xml:space="preserve">Navigation links:</w:t>
      </w:r>
      <w:r>
        <w:rPr>
          <w:rFonts w:ascii="Arial" w:cs="Arial" w:eastAsia="Arial" w:hAnsi="Arial"/>
          <w:color w:val="555555"/>
          <w:sz w:val="22"/>
          <w:szCs w:val="22"/>
        </w:rPr>
        <w:t xml:space="preserve">  0.85rem (Outfit, weight 500)</w:t>
      </w:r>
    </w:p>
    <w:p>
      <w:pPr>
        <w:spacing w:before="60" w:after="60"/>
      </w:pPr>
      <w:r>
        <w:rPr>
          <w:rFonts w:ascii="Arial" w:cs="Arial" w:eastAsia="Arial" w:hAnsi="Arial"/>
          <w:b/>
          <w:bCs/>
          <w:sz w:val="22"/>
          <w:szCs w:val="22"/>
        </w:rPr>
        <w:t xml:space="preserve">Section labels (uppercase eyebrow):</w:t>
      </w:r>
      <w:r>
        <w:rPr>
          <w:rFonts w:ascii="Arial" w:cs="Arial" w:eastAsia="Arial" w:hAnsi="Arial"/>
          <w:color w:val="555555"/>
          <w:sz w:val="22"/>
          <w:szCs w:val="22"/>
        </w:rPr>
        <w:t xml:space="preserve">  0.75rem (Outfit, uppercase, letter-spacing 0.14em)</w:t>
      </w:r>
    </w:p>
    <w:p>
      <w:pPr>
        <w:spacing w:before="60" w:after="60"/>
      </w:pPr>
      <w:r>
        <w:rPr>
          <w:rFonts w:ascii="Arial" w:cs="Arial" w:eastAsia="Arial" w:hAnsi="Arial"/>
          <w:b/>
          <w:bCs/>
          <w:sz w:val="22"/>
          <w:szCs w:val="22"/>
        </w:rPr>
        <w:t xml:space="preserve">Body / description text:</w:t>
      </w:r>
      <w:r>
        <w:rPr>
          <w:rFonts w:ascii="Arial" w:cs="Arial" w:eastAsia="Arial" w:hAnsi="Arial"/>
          <w:color w:val="555555"/>
          <w:sz w:val="22"/>
          <w:szCs w:val="22"/>
        </w:rPr>
        <w:t xml:space="preserve">  0.95rem – 1.02rem (Outfit, line-height 1.7–1.75)</w:t>
      </w:r>
    </w:p>
    <w:p>
      <w:pPr>
        <w:spacing w:before="60" w:after="60"/>
      </w:pPr>
      <w:r>
        <w:rPr>
          <w:rFonts w:ascii="Arial" w:cs="Arial" w:eastAsia="Arial" w:hAnsi="Arial"/>
          <w:b/>
          <w:bCs/>
          <w:sz w:val="22"/>
          <w:szCs w:val="22"/>
        </w:rPr>
        <w:t xml:space="preserve">Form labels:</w:t>
      </w:r>
      <w:r>
        <w:rPr>
          <w:rFonts w:ascii="Arial" w:cs="Arial" w:eastAsia="Arial" w:hAnsi="Arial"/>
          <w:color w:val="555555"/>
          <w:sz w:val="22"/>
          <w:szCs w:val="22"/>
        </w:rPr>
        <w:t xml:space="preserve">  0.85rem (Outfit, weight 500)</w:t>
      </w:r>
    </w:p>
    <w:p>
      <w:pPr>
        <w:spacing w:before="60" w:after="60"/>
      </w:pPr>
      <w:r>
        <w:rPr>
          <w:rFonts w:ascii="Arial" w:cs="Arial" w:eastAsia="Arial" w:hAnsi="Arial"/>
          <w:b/>
          <w:bCs/>
          <w:sz w:val="22"/>
          <w:szCs w:val="22"/>
        </w:rPr>
        <w:t xml:space="preserve">Form inputs:</w:t>
      </w:r>
      <w:r>
        <w:rPr>
          <w:rFonts w:ascii="Arial" w:cs="Arial" w:eastAsia="Arial" w:hAnsi="Arial"/>
          <w:color w:val="555555"/>
          <w:sz w:val="22"/>
          <w:szCs w:val="22"/>
        </w:rPr>
        <w:t xml:space="preserve">  0.9rem (Outfit)</w:t>
      </w:r>
    </w:p>
    <w:p>
      <w:pPr>
        <w:spacing w:before="60" w:after="60"/>
      </w:pPr>
      <w:r>
        <w:rPr>
          <w:rFonts w:ascii="Arial" w:cs="Arial" w:eastAsia="Arial" w:hAnsi="Arial"/>
          <w:b/>
          <w:bCs/>
          <w:sz w:val="22"/>
          <w:szCs w:val="22"/>
        </w:rPr>
        <w:t xml:space="preserve">Caption / muted text:</w:t>
      </w:r>
      <w:r>
        <w:rPr>
          <w:rFonts w:ascii="Arial" w:cs="Arial" w:eastAsia="Arial" w:hAnsi="Arial"/>
          <w:color w:val="555555"/>
          <w:sz w:val="22"/>
          <w:szCs w:val="22"/>
        </w:rPr>
        <w:t xml:space="preserve">  0.78rem – 0.82rem (Outfit)</w:t>
      </w:r>
    </w:p>
    <w:p>
      <w:pPr>
        <w:spacing w:before="60" w:after="60"/>
      </w:pPr>
      <w:r>
        <w:rPr>
          <w:rFonts w:ascii="Arial" w:cs="Arial" w:eastAsia="Arial" w:hAnsi="Arial"/>
          <w:b/>
          <w:bCs/>
          <w:sz w:val="22"/>
          <w:szCs w:val="22"/>
        </w:rPr>
        <w:t xml:space="preserve">Button labels:</w:t>
      </w:r>
      <w:r>
        <w:rPr>
          <w:rFonts w:ascii="Arial" w:cs="Arial" w:eastAsia="Arial" w:hAnsi="Arial"/>
          <w:color w:val="555555"/>
          <w:sz w:val="22"/>
          <w:szCs w:val="22"/>
        </w:rPr>
        <w:t xml:space="preserve">  0.88rem standard, 0.82rem small (Outfit, weight 500)</w:t>
      </w:r>
    </w:p>
    <w:p>
      <w:pPr>
        <w:spacing w:before="60" w:after="120"/>
      </w:pPr>
      <w:r>
        <w:rPr>
          <w:rFonts w:ascii="Arial" w:cs="Arial" w:eastAsia="Arial" w:hAnsi="Arial"/>
          <w:b/>
          <w:bCs/>
          <w:sz w:val="22"/>
          <w:szCs w:val="22"/>
        </w:rPr>
        <w:t xml:space="preserve">Footer column headings:</w:t>
      </w:r>
      <w:r>
        <w:rPr>
          <w:rFonts w:ascii="Arial" w:cs="Arial" w:eastAsia="Arial" w:hAnsi="Arial"/>
          <w:color w:val="555555"/>
          <w:sz w:val="22"/>
          <w:szCs w:val="22"/>
        </w:rPr>
        <w:t xml:space="preserve">  0.8rem (Outfit, uppercase, letter-spacing 0.1em)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8F5E" w:sz="4" w:space="1"/>
      </w:pBdr>
      <w:tabs>
        <w:tab w:val="right" w:pos="9026"/>
      </w:tabs>
      <w:spacing w:before="120" w:after="0"/>
    </w:pPr>
    <w:r>
      <w:rPr>
        <w:rFonts w:ascii="Arial" w:cs="Arial" w:eastAsia="Arial" w:hAnsi="Arial"/>
        <w:color w:val="888888"/>
        <w:sz w:val="18"/>
        <w:szCs w:val="18"/>
      </w:rPr>
      <w:t xml:space="preserve">Design Proposal Documentation</w:t>
    </w:r>
    <w:r>
      <w:rPr>
        <w:sz w:val="18"/>
        <w:szCs w:val="18"/>
      </w:rPr>
      <w:t xml:space="preserve">	</w:t>
    </w:r>
    <w:r>
      <w:rPr>
        <w:rFonts w:ascii="Arial" w:cs="Arial" w:eastAsia="Arial" w:hAnsi="Arial"/>
        <w:color w:val="888888"/>
        <w:sz w:val="18"/>
        <w:szCs w:val="18"/>
      </w:rPr>
      <w:t xml:space="preserve">Greenfield Local Hub — GLH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A8F5E" w:sz="4" w:space="1"/>
      </w:pBdr>
      <w:spacing w:before="0" w:after="120"/>
    </w:pPr>
    <w:r>
      <w:rPr>
        <w:rFonts w:ascii="Arial" w:cs="Arial" w:eastAsia="Arial" w:hAnsi="Arial"/>
        <w:color w:val="888888"/>
        <w:sz w:val="18"/>
        <w:szCs w:val="18"/>
      </w:rPr>
      <w:t xml:space="preserve">Greenfield Local Hub  —  Wireframe Design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C4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C4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2026-03-15T18:31:39.190Z</dcterms:created>
  <dcterms:modified xsi:type="dcterms:W3CDTF">2026-03-15T18:31:39.191Z</dcterms:modified>
</cp:coreProperties>
</file>

<file path=docProps/custom.xml><?xml version="1.0" encoding="utf-8"?>
<Properties xmlns="http://schemas.openxmlformats.org/officeDocument/2006/custom-properties" xmlns:vt="http://schemas.openxmlformats.org/officeDocument/2006/docPropsVTypes"/>
</file>