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E4438">
      <w:pPr>
        <w:rPr>
          <w:rFonts w:hint="eastAsia"/>
        </w:rPr>
      </w:pPr>
      <w:r>
        <w:rPr>
          <w:rFonts w:hint="eastAsia"/>
        </w:rPr>
        <w:t>陈秀芳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52</w:t>
      </w:r>
      <w:r>
        <w:rPr>
          <w:rFonts w:hint="eastAsia"/>
        </w:rPr>
        <w:t>岁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>2015/1/29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寸关浮弦细过寸尺细弦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>主症：颈项强硬，头痛，头昏，口干口苦，胆经环跳穴以下胀痛，咳嗽一年有余，</w:t>
      </w:r>
    </w:p>
    <w:p w:rsidR="00BE4438" w:rsidRDefault="00BE4438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45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BE4438" w:rsidRDefault="00BE4438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BE44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4438"/>
    <w:rsid w:val="003B05DC"/>
    <w:rsid w:val="005E15CB"/>
    <w:rsid w:val="00B275BF"/>
    <w:rsid w:val="00BE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44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4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2015-01-29T05:42:00Z</dcterms:created>
  <dcterms:modified xsi:type="dcterms:W3CDTF">2015-01-29T05:56:00Z</dcterms:modified>
</cp:coreProperties>
</file>