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周线动量策略 回测报告 (v4.2)</w:t>
      </w:r>
    </w:p>
    <w:p>
      <w:r>
        <w:t>策略参数：MA10/30 LB3 D10.0 H3</w:t>
      </w:r>
    </w:p>
    <w:p>
      <w:r>
        <w:t>生成时间：2026-06-07 00:24:03</w:t>
      </w:r>
    </w:p>
    <w:p/>
    <w:p>
      <w:pPr>
        <w:pStyle w:val="Heading1"/>
      </w:pPr>
      <w:r>
        <w:t>一、回测参数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max_dev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top_n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lb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ma_s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ma_l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capital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2019-W01</w:t>
            </w:r>
          </w:p>
        </w:tc>
      </w:tr>
      <w:tr>
        <w:tc>
          <w:tcPr>
            <w:tcW w:type="dxa" w:w="4320"/>
          </w:tcPr>
          <w:p>
            <w:r>
              <w:t>end</w:t>
            </w:r>
          </w:p>
        </w:tc>
        <w:tc>
          <w:tcPr>
            <w:tcW w:type="dxa" w:w="4320"/>
          </w:tcPr>
          <w:p>
            <w:r>
              <w:t>2026-W18</w:t>
            </w:r>
          </w:p>
        </w:tc>
      </w:tr>
      <w:tr>
        <w:tc>
          <w:tcPr>
            <w:tcW w:type="dxa" w:w="4320"/>
          </w:tcPr>
          <w:p>
            <w:r>
              <w:t>hs300_threshold</w:t>
            </w:r>
          </w:p>
        </w:tc>
        <w:tc>
          <w:tcPr>
            <w:tcW w:type="dxa" w:w="4320"/>
          </w:tcPr>
          <w:p>
            <w:r>
              <w:t>-100.0</w:t>
            </w:r>
          </w:p>
        </w:tc>
      </w:tr>
    </w:tbl>
    <w:p/>
    <w:p>
      <w:pPr>
        <w:pStyle w:val="Heading1"/>
      </w:pPr>
      <w:r>
        <w:t>二、回测结果</w:t>
      </w:r>
    </w:p>
    <w:p>
      <w:r>
        <w:t>回测区间：2019-W01 ~ 2026-W18（374周，7.2年）</w:t>
      </w:r>
    </w:p>
    <w:p>
      <w:r>
        <w:rPr>
          <w:b/>
        </w:rPr>
        <w:t>总收益率：+166.7%</w:t>
      </w:r>
    </w:p>
    <w:p>
      <w:r>
        <w:rPr>
          <w:b/>
        </w:rPr>
        <w:t>年化收益率：+14.6%</w:t>
      </w:r>
    </w:p>
    <w:p>
      <w:r>
        <w:rPr>
          <w:b/>
        </w:rPr>
        <w:t>最大回撤：-1339.7%</w:t>
      </w:r>
    </w:p>
    <w:p>
      <w:r>
        <w:rPr>
          <w:b/>
        </w:rPr>
        <w:t>夏普比率：0.78</w:t>
      </w:r>
    </w:p>
    <w:p>
      <w:r>
        <w:rPr>
          <w:b/>
        </w:rPr>
        <w:t>Calmar比率：0.45</w:t>
      </w:r>
    </w:p>
    <w:p>
      <w:r>
        <w:t>周胜率：54.4%</w:t>
      </w:r>
    </w:p>
    <w:p>
      <w:r>
        <w:t>交易次数：756次买入 / 753次卖出</w:t>
      </w:r>
    </w:p>
    <w:p/>
    <w:p>
      <w:pPr>
        <w:pStyle w:val="Heading1"/>
      </w:pPr>
      <w:r>
        <w:t>三、逐年表现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年份</w:t>
            </w:r>
          </w:p>
        </w:tc>
        <w:tc>
          <w:tcPr>
            <w:tcW w:type="dxa" w:w="2160"/>
          </w:tcPr>
          <w:p>
            <w:r>
              <w:t>收益率</w:t>
            </w:r>
          </w:p>
        </w:tc>
        <w:tc>
          <w:tcPr>
            <w:tcW w:type="dxa" w:w="2160"/>
          </w:tcPr>
          <w:p>
            <w:r>
              <w:t>最大回撤</w:t>
            </w:r>
          </w:p>
        </w:tc>
        <w:tc>
          <w:tcPr>
            <w:tcW w:type="dxa" w:w="2160"/>
          </w:tcPr>
          <w:p>
            <w:r>
              <w:t>平均持仓占比</w:t>
            </w:r>
          </w:p>
        </w:tc>
      </w:tr>
      <w:tr>
        <w:tc>
          <w:tcPr>
            <w:tcW w:type="dxa" w:w="2160"/>
          </w:tcPr>
          <w:p>
            <w:r>
              <w:t>2019</w:t>
            </w:r>
          </w:p>
        </w:tc>
        <w:tc>
          <w:tcPr>
            <w:tcW w:type="dxa" w:w="2160"/>
          </w:tcPr>
          <w:p>
            <w:r>
              <w:t>+15.0%</w:t>
            </w:r>
          </w:p>
        </w:tc>
        <w:tc>
          <w:tcPr>
            <w:tcW w:type="dxa" w:w="2160"/>
          </w:tcPr>
          <w:p>
            <w:r>
              <w:t>-6.5%</w:t>
            </w:r>
          </w:p>
        </w:tc>
        <w:tc>
          <w:tcPr>
            <w:tcW w:type="dxa" w:w="2160"/>
          </w:tcPr>
          <w:p>
            <w:r>
              <w:t>83%</w:t>
            </w:r>
          </w:p>
        </w:tc>
      </w:tr>
      <w:tr>
        <w:tc>
          <w:tcPr>
            <w:tcW w:type="dxa" w:w="2160"/>
          </w:tcPr>
          <w:p>
            <w:r>
              <w:t>2020</w:t>
            </w:r>
          </w:p>
        </w:tc>
        <w:tc>
          <w:tcPr>
            <w:tcW w:type="dxa" w:w="2160"/>
          </w:tcPr>
          <w:p>
            <w:r>
              <w:t>+16.2%</w:t>
            </w:r>
          </w:p>
        </w:tc>
        <w:tc>
          <w:tcPr>
            <w:tcW w:type="dxa" w:w="2160"/>
          </w:tcPr>
          <w:p>
            <w:r>
              <w:t>-12.7%</w:t>
            </w:r>
          </w:p>
        </w:tc>
        <w:tc>
          <w:tcPr>
            <w:tcW w:type="dxa" w:w="2160"/>
          </w:tcPr>
          <w:p>
            <w:r>
              <w:t>79%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+34.4%</w:t>
            </w:r>
          </w:p>
        </w:tc>
        <w:tc>
          <w:tcPr>
            <w:tcW w:type="dxa" w:w="2160"/>
          </w:tcPr>
          <w:p>
            <w:r>
              <w:t>-9.8%</w:t>
            </w:r>
          </w:p>
        </w:tc>
        <w:tc>
          <w:tcPr>
            <w:tcW w:type="dxa" w:w="2160"/>
          </w:tcPr>
          <w:p>
            <w:r>
              <w:t>97%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-25.4%</w:t>
            </w:r>
          </w:p>
        </w:tc>
        <w:tc>
          <w:tcPr>
            <w:tcW w:type="dxa" w:w="2160"/>
          </w:tcPr>
          <w:p>
            <w:r>
              <w:t>-32.2%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+7.6%</w:t>
            </w:r>
          </w:p>
        </w:tc>
        <w:tc>
          <w:tcPr>
            <w:tcW w:type="dxa" w:w="2160"/>
          </w:tcPr>
          <w:p>
            <w:r>
              <w:t>-9.5%</w:t>
            </w:r>
          </w:p>
        </w:tc>
        <w:tc>
          <w:tcPr>
            <w:tcW w:type="dxa" w:w="2160"/>
          </w:tcPr>
          <w:p>
            <w:r>
              <w:t>93%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+8.5%</w:t>
            </w:r>
          </w:p>
        </w:tc>
        <w:tc>
          <w:tcPr>
            <w:tcW w:type="dxa" w:w="2160"/>
          </w:tcPr>
          <w:p>
            <w:r>
              <w:t>-18.0%</w:t>
            </w:r>
          </w:p>
        </w:tc>
        <w:tc>
          <w:tcPr>
            <w:tcW w:type="dxa" w:w="2160"/>
          </w:tcPr>
          <w:p>
            <w:r>
              <w:t>95%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+50.8%</w:t>
            </w:r>
          </w:p>
        </w:tc>
        <w:tc>
          <w:tcPr>
            <w:tcW w:type="dxa" w:w="2160"/>
          </w:tcPr>
          <w:p>
            <w:r>
              <w:t>-9.6%</w:t>
            </w:r>
          </w:p>
        </w:tc>
        <w:tc>
          <w:tcPr>
            <w:tcW w:type="dxa" w:w="2160"/>
          </w:tcPr>
          <w:p>
            <w:r>
              <w:t>97%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+6.5%</w:t>
            </w:r>
          </w:p>
        </w:tc>
        <w:tc>
          <w:tcPr>
            <w:tcW w:type="dxa" w:w="2160"/>
          </w:tcPr>
          <w:p>
            <w:r>
              <w:t>-13.4%</w:t>
            </w:r>
          </w:p>
        </w:tc>
        <w:tc>
          <w:tcPr>
            <w:tcW w:type="dxa" w:w="2160"/>
          </w:tcPr>
          <w:p>
            <w:r>
              <w:t>86%</w:t>
            </w:r>
          </w:p>
        </w:tc>
      </w:tr>
    </w:tbl>
    <w:p/>
    <w:p>
      <w:pPr>
        <w:pStyle w:val="Heading1"/>
      </w:pPr>
      <w:r>
        <w:t>四、权益曲线（摘要）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周次</w:t>
            </w:r>
          </w:p>
        </w:tc>
        <w:tc>
          <w:tcPr>
            <w:tcW w:type="dxa" w:w="2160"/>
          </w:tcPr>
          <w:p>
            <w:r>
              <w:t>权益</w:t>
            </w:r>
          </w:p>
        </w:tc>
        <w:tc>
          <w:tcPr>
            <w:tcW w:type="dxa" w:w="2160"/>
          </w:tcPr>
          <w:p>
            <w:r>
              <w:t>持仓数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</w:tr>
      <w:tr>
        <w:tc>
          <w:tcPr>
            <w:tcW w:type="dxa" w:w="2160"/>
          </w:tcPr>
          <w:p>
            <w:r>
              <w:t>2019-W02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2019-W15</w:t>
            </w:r>
          </w:p>
        </w:tc>
        <w:tc>
          <w:tcPr>
            <w:tcW w:type="dxa" w:w="2160"/>
          </w:tcPr>
          <w:p>
            <w:r>
              <w:t>1.0241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2019-W27</w:t>
            </w:r>
          </w:p>
        </w:tc>
        <w:tc>
          <w:tcPr>
            <w:tcW w:type="dxa" w:w="2160"/>
          </w:tcPr>
          <w:p>
            <w:r>
              <w:t>1.0795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2019-W39</w:t>
            </w:r>
          </w:p>
        </w:tc>
        <w:tc>
          <w:tcPr>
            <w:tcW w:type="dxa" w:w="2160"/>
          </w:tcPr>
          <w:p>
            <w:r>
              <w:t>1.1003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2019-W51</w:t>
            </w:r>
          </w:p>
        </w:tc>
        <w:tc>
          <w:tcPr>
            <w:tcW w:type="dxa" w:w="2160"/>
          </w:tcPr>
          <w:p>
            <w:r>
              <w:t>1.1482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2020-W12</w:t>
            </w:r>
          </w:p>
        </w:tc>
        <w:tc>
          <w:tcPr>
            <w:tcW w:type="dxa" w:w="2160"/>
          </w:tcPr>
          <w:p>
            <w:r>
              <w:t>1.0266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2020-W24</w:t>
            </w:r>
          </w:p>
        </w:tc>
        <w:tc>
          <w:tcPr>
            <w:tcW w:type="dxa" w:w="2160"/>
          </w:tcPr>
          <w:p>
            <w:r>
              <w:t>1.0429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2020-W36</w:t>
            </w:r>
          </w:p>
        </w:tc>
        <w:tc>
          <w:tcPr>
            <w:tcW w:type="dxa" w:w="2160"/>
          </w:tcPr>
          <w:p>
            <w:r>
              <w:t>1.3274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2020-W48</w:t>
            </w:r>
          </w:p>
        </w:tc>
        <w:tc>
          <w:tcPr>
            <w:tcW w:type="dxa" w:w="2160"/>
          </w:tcPr>
          <w:p>
            <w:r>
              <w:t>1.3417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2021-W07</w:t>
            </w:r>
          </w:p>
        </w:tc>
        <w:tc>
          <w:tcPr>
            <w:tcW w:type="dxa" w:w="2160"/>
          </w:tcPr>
          <w:p>
            <w:r>
              <w:t>1.4627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2021-W19</w:t>
            </w:r>
          </w:p>
        </w:tc>
        <w:tc>
          <w:tcPr>
            <w:tcW w:type="dxa" w:w="2160"/>
          </w:tcPr>
          <w:p>
            <w:r>
              <w:t>1.3661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2021-W31</w:t>
            </w:r>
          </w:p>
        </w:tc>
        <w:tc>
          <w:tcPr>
            <w:tcW w:type="dxa" w:w="2160"/>
          </w:tcPr>
          <w:p>
            <w:r>
              <w:t>1.5012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2021-W43</w:t>
            </w:r>
          </w:p>
        </w:tc>
        <w:tc>
          <w:tcPr>
            <w:tcW w:type="dxa" w:w="2160"/>
          </w:tcPr>
          <w:p>
            <w:r>
              <w:t>1.8275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2022-W03</w:t>
            </w:r>
          </w:p>
        </w:tc>
        <w:tc>
          <w:tcPr>
            <w:tcW w:type="dxa" w:w="2160"/>
          </w:tcPr>
          <w:p>
            <w:r>
              <w:t>1.9957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2022-W16</w:t>
            </w:r>
          </w:p>
        </w:tc>
        <w:tc>
          <w:tcPr>
            <w:tcW w:type="dxa" w:w="2160"/>
          </w:tcPr>
          <w:p>
            <w:r>
              <w:t>1.8731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2022-W28</w:t>
            </w:r>
          </w:p>
        </w:tc>
        <w:tc>
          <w:tcPr>
            <w:tcW w:type="dxa" w:w="2160"/>
          </w:tcPr>
          <w:p>
            <w:r>
              <w:t>1.7357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2022-W41</w:t>
            </w:r>
          </w:p>
        </w:tc>
        <w:tc>
          <w:tcPr>
            <w:tcW w:type="dxa" w:w="2160"/>
          </w:tcPr>
          <w:p>
            <w:r>
              <w:t>1.6419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2023-W01</w:t>
            </w:r>
          </w:p>
        </w:tc>
        <w:tc>
          <w:tcPr>
            <w:tcW w:type="dxa" w:w="2160"/>
          </w:tcPr>
          <w:p>
            <w:r>
              <w:t>1.4526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2023-W14</w:t>
            </w:r>
          </w:p>
        </w:tc>
        <w:tc>
          <w:tcPr>
            <w:tcW w:type="dxa" w:w="2160"/>
          </w:tcPr>
          <w:p>
            <w:r>
              <w:t>1.7055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2023-W26</w:t>
            </w:r>
          </w:p>
        </w:tc>
        <w:tc>
          <w:tcPr>
            <w:tcW w:type="dxa" w:w="2160"/>
          </w:tcPr>
          <w:p>
            <w:r>
              <w:t>1.6228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2023-W38</w:t>
            </w:r>
          </w:p>
        </w:tc>
        <w:tc>
          <w:tcPr>
            <w:tcW w:type="dxa" w:w="2160"/>
          </w:tcPr>
          <w:p>
            <w:r>
              <w:t>1.6145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2023-W51</w:t>
            </w:r>
          </w:p>
        </w:tc>
        <w:tc>
          <w:tcPr>
            <w:tcW w:type="dxa" w:w="2160"/>
          </w:tcPr>
          <w:p>
            <w:r>
              <w:t>1.5546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2024-W12</w:t>
            </w:r>
          </w:p>
        </w:tc>
        <w:tc>
          <w:tcPr>
            <w:tcW w:type="dxa" w:w="2160"/>
          </w:tcPr>
          <w:p>
            <w:r>
              <w:t>1.6469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2024-W24</w:t>
            </w:r>
          </w:p>
        </w:tc>
        <w:tc>
          <w:tcPr>
            <w:tcW w:type="dxa" w:w="2160"/>
          </w:tcPr>
          <w:p>
            <w:r>
              <w:t>1.8764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2024-W36</w:t>
            </w:r>
          </w:p>
        </w:tc>
        <w:tc>
          <w:tcPr>
            <w:tcW w:type="dxa" w:w="2160"/>
          </w:tcPr>
          <w:p>
            <w:r>
              <w:t>1.7429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2024-W48</w:t>
            </w:r>
          </w:p>
        </w:tc>
        <w:tc>
          <w:tcPr>
            <w:tcW w:type="dxa" w:w="2160"/>
          </w:tcPr>
          <w:p>
            <w:r>
              <w:t>1.6645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2025-W08</w:t>
            </w:r>
          </w:p>
        </w:tc>
        <w:tc>
          <w:tcPr>
            <w:tcW w:type="dxa" w:w="2160"/>
          </w:tcPr>
          <w:p>
            <w:r>
              <w:t>1.9826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2025-W20</w:t>
            </w:r>
          </w:p>
        </w:tc>
        <w:tc>
          <w:tcPr>
            <w:tcW w:type="dxa" w:w="2160"/>
          </w:tcPr>
          <w:p>
            <w:r>
              <w:t>1.9082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2025-W32</w:t>
            </w:r>
          </w:p>
        </w:tc>
        <w:tc>
          <w:tcPr>
            <w:tcW w:type="dxa" w:w="2160"/>
          </w:tcPr>
          <w:p>
            <w:r>
              <w:t>1.9882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2025-W44</w:t>
            </w:r>
          </w:p>
        </w:tc>
        <w:tc>
          <w:tcPr>
            <w:tcW w:type="dxa" w:w="2160"/>
          </w:tcPr>
          <w:p>
            <w:r>
              <w:t>2.3619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2026-W04</w:t>
            </w:r>
          </w:p>
        </w:tc>
        <w:tc>
          <w:tcPr>
            <w:tcW w:type="dxa" w:w="2160"/>
          </w:tcPr>
          <w:p>
            <w:r>
              <w:t>2.9082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2026-W17</w:t>
            </w:r>
          </w:p>
        </w:tc>
        <w:tc>
          <w:tcPr>
            <w:tcW w:type="dxa" w:w="2160"/>
          </w:tcPr>
          <w:p>
            <w:r>
              <w:t>2.5540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2026-W18</w:t>
            </w:r>
          </w:p>
        </w:tc>
        <w:tc>
          <w:tcPr>
            <w:tcW w:type="dxa" w:w="2160"/>
          </w:tcPr>
          <w:p>
            <w:r>
              <w:t>2.6666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