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00:23:58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总收益率：+372.4%</w:t>
      </w:r>
    </w:p>
    <w:p>
      <w:r>
        <w:rPr>
          <w:b/>
        </w:rPr>
        <w:t>年化收益率：+24.1%</w:t>
      </w:r>
    </w:p>
    <w:p>
      <w:r>
        <w:rPr>
          <w:b/>
        </w:rPr>
        <w:t>最大回撤：-1890.1%</w:t>
      </w:r>
    </w:p>
    <w:p>
      <w:r>
        <w:rPr>
          <w:b/>
        </w:rPr>
        <w:t>夏普比率：1.08</w:t>
      </w:r>
    </w:p>
    <w:p>
      <w:r>
        <w:rPr>
          <w:b/>
        </w:rPr>
        <w:t>Calmar比率：0.84</w:t>
      </w:r>
    </w:p>
    <w:p>
      <w:r>
        <w:t>周胜率：56.3%</w:t>
      </w:r>
    </w:p>
    <w:p>
      <w:r>
        <w:t>交易次数：893次买入 / 890次卖出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+39.0%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-5.1%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+52.7%</w:t>
            </w:r>
          </w:p>
        </w:tc>
        <w:tc>
          <w:tcPr>
            <w:tcW w:type="dxa" w:w="2160"/>
          </w:tcPr>
          <w:p>
            <w:r>
              <w:t>-7.5%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-14.3%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-10.2%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-22.2%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+99.6%</w:t>
            </w:r>
          </w:p>
        </w:tc>
        <w:tc>
          <w:tcPr>
            <w:tcW w:type="dxa" w:w="2160"/>
          </w:tcPr>
          <w:p>
            <w:r>
              <w:t>-11.3%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1.4217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1.2142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1.2683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1.3537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1.5036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1.6976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2.1840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2.1691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2.4313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2.5214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2.3090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2.4105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2.7911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2.6464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2.6202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2.6446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2.8975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2.9304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2.9077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3.2204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3.1000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3.4553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5.0533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5.7208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4.6415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4.7241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