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D15.0 H3</w:t>
      </w:r>
    </w:p>
    <w:p>
      <w:r>
        <w:t>生成时间：2026-06-07 00:23:44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总收益率：+504.3%</w:t>
      </w:r>
    </w:p>
    <w:p>
      <w:r>
        <w:rPr>
          <w:b/>
        </w:rPr>
        <w:t>年化收益率：+28.4%</w:t>
      </w:r>
    </w:p>
    <w:p>
      <w:r>
        <w:rPr>
          <w:b/>
        </w:rPr>
        <w:t>最大回撤：-686.5%</w:t>
      </w:r>
    </w:p>
    <w:p>
      <w:r>
        <w:rPr>
          <w:b/>
        </w:rPr>
        <w:t>夏普比率：1.24</w:t>
      </w:r>
    </w:p>
    <w:p>
      <w:r>
        <w:rPr>
          <w:b/>
        </w:rPr>
        <w:t>Calmar比率：0.88</w:t>
      </w:r>
    </w:p>
    <w:p>
      <w:r>
        <w:t>周胜率：55.2%</w:t>
      </w:r>
    </w:p>
    <w:p>
      <w:r>
        <w:t>交易次数：961次买入 / 958次卖出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+33.9%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+10.2%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+69.9%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-15.2%</w:t>
            </w:r>
          </w:p>
        </w:tc>
        <w:tc>
          <w:tcPr>
            <w:tcW w:type="dxa" w:w="2160"/>
          </w:tcPr>
          <w:p>
            <w:r>
              <w:t>-29.6%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+12.8%</w:t>
            </w:r>
          </w:p>
        </w:tc>
        <w:tc>
          <w:tcPr>
            <w:tcW w:type="dxa" w:w="2160"/>
          </w:tcPr>
          <w:p>
            <w:r>
              <w:t>-14.9%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+76.9%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+21.5%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1.2438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1.2886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1.3061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1.3265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1.2858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1.4676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1.7574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2.1413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2.6831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2.6369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2.3078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2.0131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1.9345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2.2908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2.6290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2.5950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2.7417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2.7130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2.9410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3.1277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2.7902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3.0107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3.7262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3.7428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4.2578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4.7996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5.5647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5.9078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6.0433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