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周线动量策略 回测报告 (v4.2)</w:t>
      </w:r>
    </w:p>
    <w:p>
      <w:r>
        <w:t>策略参数：MA5/21 LB3 D10.0 H2</w:t>
      </w:r>
    </w:p>
    <w:p>
      <w:r>
        <w:t>生成时间：2026-06-07 00:24:06</w:t>
      </w:r>
    </w:p>
    <w:p/>
    <w:p>
      <w:pPr>
        <w:pStyle w:val="Heading1"/>
      </w:pPr>
      <w:r>
        <w:t>一、回测参数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参数</w:t>
            </w:r>
          </w:p>
        </w:tc>
        <w:tc>
          <w:tcPr>
            <w:tcW w:type="dxa" w:w="4320"/>
          </w:tcPr>
          <w:p>
            <w:r>
              <w:t>值</w:t>
            </w:r>
          </w:p>
        </w:tc>
      </w:tr>
      <w:tr>
        <w:tc>
          <w:tcPr>
            <w:tcW w:type="dxa" w:w="4320"/>
          </w:tcPr>
          <w:p>
            <w:r>
              <w:t>max_dev</w:t>
            </w:r>
          </w:p>
        </w:tc>
        <w:tc>
          <w:tcPr>
            <w:tcW w:type="dxa" w:w="4320"/>
          </w:tcPr>
          <w:p>
            <w:r>
              <w:t>10.0</w:t>
            </w:r>
          </w:p>
        </w:tc>
      </w:tr>
      <w:tr>
        <w:tc>
          <w:tcPr>
            <w:tcW w:type="dxa" w:w="4320"/>
          </w:tcPr>
          <w:p>
            <w:r>
              <w:t>top_n</w:t>
            </w:r>
          </w:p>
        </w:tc>
        <w:tc>
          <w:tcPr>
            <w:tcW w:type="dxa" w:w="4320"/>
          </w:tcPr>
          <w:p>
            <w:r>
              <w:t>2</w:t>
            </w:r>
          </w:p>
        </w:tc>
      </w:tr>
      <w:tr>
        <w:tc>
          <w:tcPr>
            <w:tcW w:type="dxa" w:w="4320"/>
          </w:tcPr>
          <w:p>
            <w:r>
              <w:t>lb</w:t>
            </w:r>
          </w:p>
        </w:tc>
        <w:tc>
          <w:tcPr>
            <w:tcW w:type="dxa" w:w="4320"/>
          </w:tcPr>
          <w:p>
            <w:r>
              <w:t>3</w:t>
            </w:r>
          </w:p>
        </w:tc>
      </w:tr>
      <w:tr>
        <w:tc>
          <w:tcPr>
            <w:tcW w:type="dxa" w:w="4320"/>
          </w:tcPr>
          <w:p>
            <w:r>
              <w:t>ma_s</w:t>
            </w:r>
          </w:p>
        </w:tc>
        <w:tc>
          <w:tcPr>
            <w:tcW w:type="dxa" w:w="4320"/>
          </w:tcPr>
          <w:p>
            <w:r>
              <w:t>5</w:t>
            </w:r>
          </w:p>
        </w:tc>
      </w:tr>
      <w:tr>
        <w:tc>
          <w:tcPr>
            <w:tcW w:type="dxa" w:w="4320"/>
          </w:tcPr>
          <w:p>
            <w:r>
              <w:t>ma_l</w:t>
            </w:r>
          </w:p>
        </w:tc>
        <w:tc>
          <w:tcPr>
            <w:tcW w:type="dxa" w:w="4320"/>
          </w:tcPr>
          <w:p>
            <w:r>
              <w:t>21</w:t>
            </w:r>
          </w:p>
        </w:tc>
      </w:tr>
      <w:tr>
        <w:tc>
          <w:tcPr>
            <w:tcW w:type="dxa" w:w="4320"/>
          </w:tcPr>
          <w:p>
            <w:r>
              <w:t>capital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start</w:t>
            </w:r>
          </w:p>
        </w:tc>
        <w:tc>
          <w:tcPr>
            <w:tcW w:type="dxa" w:w="4320"/>
          </w:tcPr>
          <w:p>
            <w:r>
              <w:t>2010-W01</w:t>
            </w:r>
          </w:p>
        </w:tc>
      </w:tr>
      <w:tr>
        <w:tc>
          <w:tcPr>
            <w:tcW w:type="dxa" w:w="4320"/>
          </w:tcPr>
          <w:p>
            <w:r>
              <w:t>end</w:t>
            </w:r>
          </w:p>
        </w:tc>
        <w:tc>
          <w:tcPr>
            <w:tcW w:type="dxa" w:w="4320"/>
          </w:tcPr>
          <w:p>
            <w:r>
              <w:t>2018-W52</w:t>
            </w:r>
          </w:p>
        </w:tc>
      </w:tr>
      <w:tr>
        <w:tc>
          <w:tcPr>
            <w:tcW w:type="dxa" w:w="4320"/>
          </w:tcPr>
          <w:p>
            <w:r>
              <w:t>hs300_threshold</w:t>
            </w:r>
          </w:p>
        </w:tc>
        <w:tc>
          <w:tcPr>
            <w:tcW w:type="dxa" w:w="4320"/>
          </w:tcPr>
          <w:p>
            <w:r>
              <w:t>-100.0</w:t>
            </w:r>
          </w:p>
        </w:tc>
      </w:tr>
    </w:tbl>
    <w:p/>
    <w:p>
      <w:pPr>
        <w:pStyle w:val="Heading1"/>
      </w:pPr>
      <w:r>
        <w:t>二、回测结果</w:t>
      </w:r>
    </w:p>
    <w:p>
      <w:r>
        <w:t>回测区间：2010-W01 ~ 2018-W52（410周，7.9年）</w:t>
      </w:r>
    </w:p>
    <w:p>
      <w:r>
        <w:rPr>
          <w:b/>
        </w:rPr>
        <w:t>总收益率：+42.4%</w:t>
      </w:r>
    </w:p>
    <w:p>
      <w:r>
        <w:rPr>
          <w:b/>
        </w:rPr>
        <w:t>年化收益率：+4.6%</w:t>
      </w:r>
    </w:p>
    <w:p>
      <w:r>
        <w:rPr>
          <w:b/>
        </w:rPr>
        <w:t>最大回撤：-1500.8%</w:t>
      </w:r>
    </w:p>
    <w:p>
      <w:r>
        <w:rPr>
          <w:b/>
        </w:rPr>
        <w:t>夏普比率：0.26</w:t>
      </w:r>
    </w:p>
    <w:p>
      <w:r>
        <w:rPr>
          <w:b/>
        </w:rPr>
        <w:t>Calmar比率：0.31</w:t>
      </w:r>
    </w:p>
    <w:p>
      <w:r>
        <w:t>周胜率：23.7%</w:t>
      </w:r>
    </w:p>
    <w:p>
      <w:r>
        <w:t>交易次数：204次买入 / 202次卖出</w:t>
      </w:r>
    </w:p>
    <w:p/>
    <w:p>
      <w:pPr>
        <w:pStyle w:val="Heading1"/>
      </w:pPr>
      <w:r>
        <w:t>三、逐年表现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年份</w:t>
            </w:r>
          </w:p>
        </w:tc>
        <w:tc>
          <w:tcPr>
            <w:tcW w:type="dxa" w:w="2160"/>
          </w:tcPr>
          <w:p>
            <w:r>
              <w:t>收益率</w:t>
            </w:r>
          </w:p>
        </w:tc>
        <w:tc>
          <w:tcPr>
            <w:tcW w:type="dxa" w:w="2160"/>
          </w:tcPr>
          <w:p>
            <w:r>
              <w:t>最大回撤</w:t>
            </w:r>
          </w:p>
        </w:tc>
        <w:tc>
          <w:tcPr>
            <w:tcW w:type="dxa" w:w="2160"/>
          </w:tcPr>
          <w:p>
            <w:r>
              <w:t>平均持仓占比</w:t>
            </w:r>
          </w:p>
        </w:tc>
      </w:tr>
      <w:tr>
        <w:tc>
          <w:tcPr>
            <w:tcW w:type="dxa" w:w="2160"/>
          </w:tcPr>
          <w:p>
            <w:r>
              <w:t>2010</w:t>
            </w:r>
          </w:p>
        </w:tc>
        <w:tc>
          <w:tcPr>
            <w:tcW w:type="dxa" w:w="2160"/>
          </w:tcPr>
          <w:p>
            <w:r>
              <w:t>+0.0%</w:t>
            </w:r>
          </w:p>
        </w:tc>
        <w:tc>
          <w:tcPr>
            <w:tcW w:type="dxa" w:w="2160"/>
          </w:tcPr>
          <w:p>
            <w:r>
              <w:t>0.0%</w:t>
            </w:r>
          </w:p>
        </w:tc>
        <w:tc>
          <w:tcPr>
            <w:tcW w:type="dxa" w:w="2160"/>
          </w:tcPr>
          <w:p>
            <w:r>
              <w:t>0%</w:t>
            </w:r>
          </w:p>
        </w:tc>
      </w:tr>
      <w:tr>
        <w:tc>
          <w:tcPr>
            <w:tcW w:type="dxa" w:w="2160"/>
          </w:tcPr>
          <w:p>
            <w:r>
              <w:t>2011</w:t>
            </w:r>
          </w:p>
        </w:tc>
        <w:tc>
          <w:tcPr>
            <w:tcW w:type="dxa" w:w="2160"/>
          </w:tcPr>
          <w:p>
            <w:r>
              <w:t>+0.0%</w:t>
            </w:r>
          </w:p>
        </w:tc>
        <w:tc>
          <w:tcPr>
            <w:tcW w:type="dxa" w:w="2160"/>
          </w:tcPr>
          <w:p>
            <w:r>
              <w:t>0.0%</w:t>
            </w:r>
          </w:p>
        </w:tc>
        <w:tc>
          <w:tcPr>
            <w:tcW w:type="dxa" w:w="2160"/>
          </w:tcPr>
          <w:p>
            <w:r>
              <w:t>0%</w:t>
            </w:r>
          </w:p>
        </w:tc>
      </w:tr>
      <w:tr>
        <w:tc>
          <w:tcPr>
            <w:tcW w:type="dxa" w:w="2160"/>
          </w:tcPr>
          <w:p>
            <w:r>
              <w:t>2012</w:t>
            </w:r>
          </w:p>
        </w:tc>
        <w:tc>
          <w:tcPr>
            <w:tcW w:type="dxa" w:w="2160"/>
          </w:tcPr>
          <w:p>
            <w:r>
              <w:t>-4.6%</w:t>
            </w:r>
          </w:p>
        </w:tc>
        <w:tc>
          <w:tcPr>
            <w:tcW w:type="dxa" w:w="2160"/>
          </w:tcPr>
          <w:p>
            <w:r>
              <w:t>-10.8%</w:t>
            </w:r>
          </w:p>
        </w:tc>
        <w:tc>
          <w:tcPr>
            <w:tcW w:type="dxa" w:w="2160"/>
          </w:tcPr>
          <w:p>
            <w:r>
              <w:t>25%</w:t>
            </w:r>
          </w:p>
        </w:tc>
      </w:tr>
      <w:tr>
        <w:tc>
          <w:tcPr>
            <w:tcW w:type="dxa" w:w="2160"/>
          </w:tcPr>
          <w:p>
            <w:r>
              <w:t>2013</w:t>
            </w:r>
          </w:p>
        </w:tc>
        <w:tc>
          <w:tcPr>
            <w:tcW w:type="dxa" w:w="2160"/>
          </w:tcPr>
          <w:p>
            <w:r>
              <w:t>+19.5%</w:t>
            </w:r>
          </w:p>
        </w:tc>
        <w:tc>
          <w:tcPr>
            <w:tcW w:type="dxa" w:w="2160"/>
          </w:tcPr>
          <w:p>
            <w:r>
              <w:t>-4.9%</w:t>
            </w:r>
          </w:p>
        </w:tc>
        <w:tc>
          <w:tcPr>
            <w:tcW w:type="dxa" w:w="2160"/>
          </w:tcPr>
          <w:p>
            <w:r>
              <w:t>26%</w:t>
            </w:r>
          </w:p>
        </w:tc>
      </w:tr>
      <w:tr>
        <w:tc>
          <w:tcPr>
            <w:tcW w:type="dxa" w:w="2160"/>
          </w:tcPr>
          <w:p>
            <w:r>
              <w:t>2014</w:t>
            </w:r>
          </w:p>
        </w:tc>
        <w:tc>
          <w:tcPr>
            <w:tcW w:type="dxa" w:w="2160"/>
          </w:tcPr>
          <w:p>
            <w:r>
              <w:t>-10.5%</w:t>
            </w:r>
          </w:p>
        </w:tc>
        <w:tc>
          <w:tcPr>
            <w:tcW w:type="dxa" w:w="2160"/>
          </w:tcPr>
          <w:p>
            <w:r>
              <w:t>-10.5%</w:t>
            </w:r>
          </w:p>
        </w:tc>
        <w:tc>
          <w:tcPr>
            <w:tcW w:type="dxa" w:w="2160"/>
          </w:tcPr>
          <w:p>
            <w:r>
              <w:t>30%</w:t>
            </w:r>
          </w:p>
        </w:tc>
      </w:tr>
      <w:tr>
        <w:tc>
          <w:tcPr>
            <w:tcW w:type="dxa" w:w="2160"/>
          </w:tcPr>
          <w:p>
            <w:r>
              <w:t>2015</w:t>
            </w:r>
          </w:p>
        </w:tc>
        <w:tc>
          <w:tcPr>
            <w:tcW w:type="dxa" w:w="2160"/>
          </w:tcPr>
          <w:p>
            <w:r>
              <w:t>+1.8%</w:t>
            </w:r>
          </w:p>
        </w:tc>
        <w:tc>
          <w:tcPr>
            <w:tcW w:type="dxa" w:w="2160"/>
          </w:tcPr>
          <w:p>
            <w:r>
              <w:t>-2.2%</w:t>
            </w:r>
          </w:p>
        </w:tc>
        <w:tc>
          <w:tcPr>
            <w:tcW w:type="dxa" w:w="2160"/>
          </w:tcPr>
          <w:p>
            <w:r>
              <w:t>8%</w:t>
            </w:r>
          </w:p>
        </w:tc>
      </w:tr>
      <w:tr>
        <w:tc>
          <w:tcPr>
            <w:tcW w:type="dxa" w:w="2160"/>
          </w:tcPr>
          <w:p>
            <w:r>
              <w:t>2016</w:t>
            </w:r>
          </w:p>
        </w:tc>
        <w:tc>
          <w:tcPr>
            <w:tcW w:type="dxa" w:w="2160"/>
          </w:tcPr>
          <w:p>
            <w:r>
              <w:t>+12.1%</w:t>
            </w:r>
          </w:p>
        </w:tc>
        <w:tc>
          <w:tcPr>
            <w:tcW w:type="dxa" w:w="2160"/>
          </w:tcPr>
          <w:p>
            <w:r>
              <w:t>-8.6%</w:t>
            </w:r>
          </w:p>
        </w:tc>
        <w:tc>
          <w:tcPr>
            <w:tcW w:type="dxa" w:w="2160"/>
          </w:tcPr>
          <w:p>
            <w:r>
              <w:t>61%</w:t>
            </w:r>
          </w:p>
        </w:tc>
      </w:tr>
      <w:tr>
        <w:tc>
          <w:tcPr>
            <w:tcW w:type="dxa" w:w="2160"/>
          </w:tcPr>
          <w:p>
            <w:r>
              <w:t>2017</w:t>
            </w:r>
          </w:p>
        </w:tc>
        <w:tc>
          <w:tcPr>
            <w:tcW w:type="dxa" w:w="2160"/>
          </w:tcPr>
          <w:p>
            <w:r>
              <w:t>+5.1%</w:t>
            </w:r>
          </w:p>
        </w:tc>
        <w:tc>
          <w:tcPr>
            <w:tcW w:type="dxa" w:w="2160"/>
          </w:tcPr>
          <w:p>
            <w:r>
              <w:t>-6.4%</w:t>
            </w:r>
          </w:p>
        </w:tc>
        <w:tc>
          <w:tcPr>
            <w:tcW w:type="dxa" w:w="2160"/>
          </w:tcPr>
          <w:p>
            <w:r>
              <w:t>68%</w:t>
            </w:r>
          </w:p>
        </w:tc>
      </w:tr>
      <w:tr>
        <w:tc>
          <w:tcPr>
            <w:tcW w:type="dxa" w:w="2160"/>
          </w:tcPr>
          <w:p>
            <w:r>
              <w:t>2018</w:t>
            </w:r>
          </w:p>
        </w:tc>
        <w:tc>
          <w:tcPr>
            <w:tcW w:type="dxa" w:w="2160"/>
          </w:tcPr>
          <w:p>
            <w:r>
              <w:t>+15.5%</w:t>
            </w:r>
          </w:p>
        </w:tc>
        <w:tc>
          <w:tcPr>
            <w:tcW w:type="dxa" w:w="2160"/>
          </w:tcPr>
          <w:p>
            <w:r>
              <w:t>-15.0%</w:t>
            </w:r>
          </w:p>
        </w:tc>
        <w:tc>
          <w:tcPr>
            <w:tcW w:type="dxa" w:w="2160"/>
          </w:tcPr>
          <w:p>
            <w:r>
              <w:t>84%</w:t>
            </w:r>
          </w:p>
        </w:tc>
      </w:tr>
    </w:tbl>
    <w:p/>
    <w:p>
      <w:pPr>
        <w:pStyle w:val="Heading1"/>
      </w:pPr>
      <w:r>
        <w:t>四、权益曲线（摘要）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周次</w:t>
            </w:r>
          </w:p>
        </w:tc>
        <w:tc>
          <w:tcPr>
            <w:tcW w:type="dxa" w:w="2160"/>
          </w:tcPr>
          <w:p>
            <w:r>
              <w:t>权益</w:t>
            </w:r>
          </w:p>
        </w:tc>
        <w:tc>
          <w:tcPr>
            <w:tcW w:type="dxa" w:w="2160"/>
          </w:tcPr>
          <w:p>
            <w:r>
              <w:t>持仓数</w:t>
            </w:r>
          </w:p>
        </w:tc>
        <w:tc>
          <w:tcPr>
            <w:tcW w:type="dxa" w:w="2160"/>
          </w:tcPr>
          <w:p>
            <w:r>
              <w:t>占比</w:t>
            </w:r>
          </w:p>
        </w:tc>
      </w:tr>
      <w:tr>
        <w:tc>
          <w:tcPr>
            <w:tcW w:type="dxa" w:w="2160"/>
          </w:tcPr>
          <w:p>
            <w:r>
              <w:t>2010-W52</w:t>
            </w:r>
          </w:p>
        </w:tc>
        <w:tc>
          <w:tcPr>
            <w:tcW w:type="dxa" w:w="2160"/>
          </w:tcPr>
          <w:p>
            <w:r>
              <w:t>1.0000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0%</w:t>
            </w:r>
          </w:p>
        </w:tc>
      </w:tr>
      <w:tr>
        <w:tc>
          <w:tcPr>
            <w:tcW w:type="dxa" w:w="2160"/>
          </w:tcPr>
          <w:p>
            <w:r>
              <w:t>2011-W13</w:t>
            </w:r>
          </w:p>
        </w:tc>
        <w:tc>
          <w:tcPr>
            <w:tcW w:type="dxa" w:w="2160"/>
          </w:tcPr>
          <w:p>
            <w:r>
              <w:t>1.0000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0%</w:t>
            </w:r>
          </w:p>
        </w:tc>
      </w:tr>
      <w:tr>
        <w:tc>
          <w:tcPr>
            <w:tcW w:type="dxa" w:w="2160"/>
          </w:tcPr>
          <w:p>
            <w:r>
              <w:t>2011-W26</w:t>
            </w:r>
          </w:p>
        </w:tc>
        <w:tc>
          <w:tcPr>
            <w:tcW w:type="dxa" w:w="2160"/>
          </w:tcPr>
          <w:p>
            <w:r>
              <w:t>1.0000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0%</w:t>
            </w:r>
          </w:p>
        </w:tc>
      </w:tr>
      <w:tr>
        <w:tc>
          <w:tcPr>
            <w:tcW w:type="dxa" w:w="2160"/>
          </w:tcPr>
          <w:p>
            <w:r>
              <w:t>2011-W39</w:t>
            </w:r>
          </w:p>
        </w:tc>
        <w:tc>
          <w:tcPr>
            <w:tcW w:type="dxa" w:w="2160"/>
          </w:tcPr>
          <w:p>
            <w:r>
              <w:t>1.0000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0%</w:t>
            </w:r>
          </w:p>
        </w:tc>
      </w:tr>
      <w:tr>
        <w:tc>
          <w:tcPr>
            <w:tcW w:type="dxa" w:w="2160"/>
          </w:tcPr>
          <w:p>
            <w:r>
              <w:t>2012-W01</w:t>
            </w:r>
          </w:p>
        </w:tc>
        <w:tc>
          <w:tcPr>
            <w:tcW w:type="dxa" w:w="2160"/>
          </w:tcPr>
          <w:p>
            <w:r>
              <w:t>1.0000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0%</w:t>
            </w:r>
          </w:p>
        </w:tc>
      </w:tr>
      <w:tr>
        <w:tc>
          <w:tcPr>
            <w:tcW w:type="dxa" w:w="2160"/>
          </w:tcPr>
          <w:p>
            <w:r>
              <w:t>2012-W15</w:t>
            </w:r>
          </w:p>
        </w:tc>
        <w:tc>
          <w:tcPr>
            <w:tcW w:type="dxa" w:w="2160"/>
          </w:tcPr>
          <w:p>
            <w:r>
              <w:t>1.0000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0%</w:t>
            </w:r>
          </w:p>
        </w:tc>
      </w:tr>
      <w:tr>
        <w:tc>
          <w:tcPr>
            <w:tcW w:type="dxa" w:w="2160"/>
          </w:tcPr>
          <w:p>
            <w:r>
              <w:t>2012-W28</w:t>
            </w:r>
          </w:p>
        </w:tc>
        <w:tc>
          <w:tcPr>
            <w:tcW w:type="dxa" w:w="2160"/>
          </w:tcPr>
          <w:p>
            <w:r>
              <w:t>0.9988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0%</w:t>
            </w:r>
          </w:p>
        </w:tc>
      </w:tr>
      <w:tr>
        <w:tc>
          <w:tcPr>
            <w:tcW w:type="dxa" w:w="2160"/>
          </w:tcPr>
          <w:p>
            <w:r>
              <w:t>2012-W42</w:t>
            </w:r>
          </w:p>
        </w:tc>
        <w:tc>
          <w:tcPr>
            <w:tcW w:type="dxa" w:w="2160"/>
          </w:tcPr>
          <w:p>
            <w:r>
              <w:t>0.9898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2013-W03</w:t>
            </w:r>
          </w:p>
        </w:tc>
        <w:tc>
          <w:tcPr>
            <w:tcW w:type="dxa" w:w="2160"/>
          </w:tcPr>
          <w:p>
            <w:r>
              <w:t>0.9539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0%</w:t>
            </w:r>
          </w:p>
        </w:tc>
      </w:tr>
      <w:tr>
        <w:tc>
          <w:tcPr>
            <w:tcW w:type="dxa" w:w="2160"/>
          </w:tcPr>
          <w:p>
            <w:r>
              <w:t>2013-W17</w:t>
            </w:r>
          </w:p>
        </w:tc>
        <w:tc>
          <w:tcPr>
            <w:tcW w:type="dxa" w:w="2160"/>
          </w:tcPr>
          <w:p>
            <w:r>
              <w:t>0.9582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50%</w:t>
            </w:r>
          </w:p>
        </w:tc>
      </w:tr>
      <w:tr>
        <w:tc>
          <w:tcPr>
            <w:tcW w:type="dxa" w:w="2160"/>
          </w:tcPr>
          <w:p>
            <w:r>
              <w:t>2013-W30</w:t>
            </w:r>
          </w:p>
        </w:tc>
        <w:tc>
          <w:tcPr>
            <w:tcW w:type="dxa" w:w="2160"/>
          </w:tcPr>
          <w:p>
            <w:r>
              <w:t>1.0064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0%</w:t>
            </w:r>
          </w:p>
        </w:tc>
      </w:tr>
      <w:tr>
        <w:tc>
          <w:tcPr>
            <w:tcW w:type="dxa" w:w="2160"/>
          </w:tcPr>
          <w:p>
            <w:r>
              <w:t>2013-W43</w:t>
            </w:r>
          </w:p>
        </w:tc>
        <w:tc>
          <w:tcPr>
            <w:tcW w:type="dxa" w:w="2160"/>
          </w:tcPr>
          <w:p>
            <w:r>
              <w:t>1.1716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50%</w:t>
            </w:r>
          </w:p>
        </w:tc>
      </w:tr>
      <w:tr>
        <w:tc>
          <w:tcPr>
            <w:tcW w:type="dxa" w:w="2160"/>
          </w:tcPr>
          <w:p>
            <w:r>
              <w:t>2014-W04</w:t>
            </w:r>
          </w:p>
        </w:tc>
        <w:tc>
          <w:tcPr>
            <w:tcW w:type="dxa" w:w="2160"/>
          </w:tcPr>
          <w:p>
            <w:r>
              <w:t>1.1189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0%</w:t>
            </w:r>
          </w:p>
        </w:tc>
      </w:tr>
      <w:tr>
        <w:tc>
          <w:tcPr>
            <w:tcW w:type="dxa" w:w="2160"/>
          </w:tcPr>
          <w:p>
            <w:r>
              <w:t>2014-W17</w:t>
            </w:r>
          </w:p>
        </w:tc>
        <w:tc>
          <w:tcPr>
            <w:tcW w:type="dxa" w:w="2160"/>
          </w:tcPr>
          <w:p>
            <w:r>
              <w:t>1.0759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0%</w:t>
            </w:r>
          </w:p>
        </w:tc>
      </w:tr>
      <w:tr>
        <w:tc>
          <w:tcPr>
            <w:tcW w:type="dxa" w:w="2160"/>
          </w:tcPr>
          <w:p>
            <w:r>
              <w:t>2014-W30</w:t>
            </w:r>
          </w:p>
        </w:tc>
        <w:tc>
          <w:tcPr>
            <w:tcW w:type="dxa" w:w="2160"/>
          </w:tcPr>
          <w:p>
            <w:r>
              <w:t>1.0962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50%</w:t>
            </w:r>
          </w:p>
        </w:tc>
      </w:tr>
      <w:tr>
        <w:tc>
          <w:tcPr>
            <w:tcW w:type="dxa" w:w="2160"/>
          </w:tcPr>
          <w:p>
            <w:r>
              <w:t>2014-W43</w:t>
            </w:r>
          </w:p>
        </w:tc>
        <w:tc>
          <w:tcPr>
            <w:tcW w:type="dxa" w:w="2160"/>
          </w:tcPr>
          <w:p>
            <w:r>
              <w:t>1.0372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0%</w:t>
            </w:r>
          </w:p>
        </w:tc>
      </w:tr>
      <w:tr>
        <w:tc>
          <w:tcPr>
            <w:tcW w:type="dxa" w:w="2160"/>
          </w:tcPr>
          <w:p>
            <w:r>
              <w:t>2015-W04</w:t>
            </w:r>
          </w:p>
        </w:tc>
        <w:tc>
          <w:tcPr>
            <w:tcW w:type="dxa" w:w="2160"/>
          </w:tcPr>
          <w:p>
            <w:r>
              <w:t>1.0211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0%</w:t>
            </w:r>
          </w:p>
        </w:tc>
      </w:tr>
      <w:tr>
        <w:tc>
          <w:tcPr>
            <w:tcW w:type="dxa" w:w="2160"/>
          </w:tcPr>
          <w:p>
            <w:r>
              <w:t>2015-W17</w:t>
            </w:r>
          </w:p>
        </w:tc>
        <w:tc>
          <w:tcPr>
            <w:tcW w:type="dxa" w:w="2160"/>
          </w:tcPr>
          <w:p>
            <w:r>
              <w:t>1.0625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0%</w:t>
            </w:r>
          </w:p>
        </w:tc>
      </w:tr>
      <w:tr>
        <w:tc>
          <w:tcPr>
            <w:tcW w:type="dxa" w:w="2160"/>
          </w:tcPr>
          <w:p>
            <w:r>
              <w:t>2015-W30</w:t>
            </w:r>
          </w:p>
        </w:tc>
        <w:tc>
          <w:tcPr>
            <w:tcW w:type="dxa" w:w="2160"/>
          </w:tcPr>
          <w:p>
            <w:r>
              <w:t>1.0515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0%</w:t>
            </w:r>
          </w:p>
        </w:tc>
      </w:tr>
      <w:tr>
        <w:tc>
          <w:tcPr>
            <w:tcW w:type="dxa" w:w="2160"/>
          </w:tcPr>
          <w:p>
            <w:r>
              <w:t>2015-W43</w:t>
            </w:r>
          </w:p>
        </w:tc>
        <w:tc>
          <w:tcPr>
            <w:tcW w:type="dxa" w:w="2160"/>
          </w:tcPr>
          <w:p>
            <w:r>
              <w:t>1.0575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2016-W03</w:t>
            </w:r>
          </w:p>
        </w:tc>
        <w:tc>
          <w:tcPr>
            <w:tcW w:type="dxa" w:w="2160"/>
          </w:tcPr>
          <w:p>
            <w:r>
              <w:t>1.0395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0%</w:t>
            </w:r>
          </w:p>
        </w:tc>
      </w:tr>
      <w:tr>
        <w:tc>
          <w:tcPr>
            <w:tcW w:type="dxa" w:w="2160"/>
          </w:tcPr>
          <w:p>
            <w:r>
              <w:t>2016-W17</w:t>
            </w:r>
          </w:p>
        </w:tc>
        <w:tc>
          <w:tcPr>
            <w:tcW w:type="dxa" w:w="2160"/>
          </w:tcPr>
          <w:p>
            <w:r>
              <w:t>1.1760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2016-W30</w:t>
            </w:r>
          </w:p>
        </w:tc>
        <w:tc>
          <w:tcPr>
            <w:tcW w:type="dxa" w:w="2160"/>
          </w:tcPr>
          <w:p>
            <w:r>
              <w:t>1.1300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50%</w:t>
            </w:r>
          </w:p>
        </w:tc>
      </w:tr>
      <w:tr>
        <w:tc>
          <w:tcPr>
            <w:tcW w:type="dxa" w:w="2160"/>
          </w:tcPr>
          <w:p>
            <w:r>
              <w:t>2016-W44</w:t>
            </w:r>
          </w:p>
        </w:tc>
        <w:tc>
          <w:tcPr>
            <w:tcW w:type="dxa" w:w="2160"/>
          </w:tcPr>
          <w:p>
            <w:r>
              <w:t>1.0943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2017-W05</w:t>
            </w:r>
          </w:p>
        </w:tc>
        <w:tc>
          <w:tcPr>
            <w:tcW w:type="dxa" w:w="2160"/>
          </w:tcPr>
          <w:p>
            <w:r>
              <w:t>1.1418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50%</w:t>
            </w:r>
          </w:p>
        </w:tc>
      </w:tr>
      <w:tr>
        <w:tc>
          <w:tcPr>
            <w:tcW w:type="dxa" w:w="2160"/>
          </w:tcPr>
          <w:p>
            <w:r>
              <w:t>2017-W18</w:t>
            </w:r>
          </w:p>
        </w:tc>
        <w:tc>
          <w:tcPr>
            <w:tcW w:type="dxa" w:w="2160"/>
          </w:tcPr>
          <w:p>
            <w:r>
              <w:t>1.1274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50%</w:t>
            </w:r>
          </w:p>
        </w:tc>
      </w:tr>
      <w:tr>
        <w:tc>
          <w:tcPr>
            <w:tcW w:type="dxa" w:w="2160"/>
          </w:tcPr>
          <w:p>
            <w:r>
              <w:t>2017-W31</w:t>
            </w:r>
          </w:p>
        </w:tc>
        <w:tc>
          <w:tcPr>
            <w:tcW w:type="dxa" w:w="2160"/>
          </w:tcPr>
          <w:p>
            <w:r>
              <w:t>1.1200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0%</w:t>
            </w:r>
          </w:p>
        </w:tc>
      </w:tr>
      <w:tr>
        <w:tc>
          <w:tcPr>
            <w:tcW w:type="dxa" w:w="2160"/>
          </w:tcPr>
          <w:p>
            <w:r>
              <w:t>2017-W45</w:t>
            </w:r>
          </w:p>
        </w:tc>
        <w:tc>
          <w:tcPr>
            <w:tcW w:type="dxa" w:w="2160"/>
          </w:tcPr>
          <w:p>
            <w:r>
              <w:t>1.1753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2018-W06</w:t>
            </w:r>
          </w:p>
        </w:tc>
        <w:tc>
          <w:tcPr>
            <w:tcW w:type="dxa" w:w="2160"/>
          </w:tcPr>
          <w:p>
            <w:r>
              <w:t>1.1561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2018-W19</w:t>
            </w:r>
          </w:p>
        </w:tc>
        <w:tc>
          <w:tcPr>
            <w:tcW w:type="dxa" w:w="2160"/>
          </w:tcPr>
          <w:p>
            <w:r>
              <w:t>1.3505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2018-W32</w:t>
            </w:r>
          </w:p>
        </w:tc>
        <w:tc>
          <w:tcPr>
            <w:tcW w:type="dxa" w:w="2160"/>
          </w:tcPr>
          <w:p>
            <w:r>
              <w:t>1.4699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2018-W46</w:t>
            </w:r>
          </w:p>
        </w:tc>
        <w:tc>
          <w:tcPr>
            <w:tcW w:type="dxa" w:w="2160"/>
          </w:tcPr>
          <w:p>
            <w:r>
              <w:t>1.4256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50%</w:t>
            </w:r>
          </w:p>
        </w:tc>
      </w:tr>
      <w:tr>
        <w:tc>
          <w:tcPr>
            <w:tcW w:type="dxa" w:w="2160"/>
          </w:tcPr>
          <w:p>
            <w:r>
              <w:t>2018-W52</w:t>
            </w:r>
          </w:p>
        </w:tc>
        <w:tc>
          <w:tcPr>
            <w:tcW w:type="dxa" w:w="2160"/>
          </w:tcPr>
          <w:p>
            <w:r>
              <w:t>1.4236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