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LB3 D10.0 H2</w:t>
      </w:r>
    </w:p>
    <w:p>
      <w:r>
        <w:t>生成时间：2026-06-13 17:09:40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2010-01-01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2026-06-12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backtest_v4.3_2026.txt</w:t>
            </w:r>
          </w:p>
        </w:tc>
      </w:tr>
      <w:tr>
        <w:tc>
          <w:tcPr>
            <w:tcW w:type="dxa" w:w="4320"/>
          </w:tcPr>
          <w:p>
            <w:r>
              <w:t>dynamic_weight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volume_filter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回测区间：2010-01-01 ~ 2026-06-12（815周，15.7年）</w:t>
      </w:r>
    </w:p>
    <w:p>
      <w:r>
        <w:rPr>
          <w:b/>
        </w:rPr>
        <w:t>总收益率：+2094.7%</w:t>
      </w:r>
    </w:p>
    <w:p>
      <w:r>
        <w:rPr>
          <w:b/>
        </w:rPr>
        <w:t>年化收益率：+21.8%</w:t>
      </w:r>
    </w:p>
    <w:p>
      <w:r>
        <w:rPr>
          <w:b/>
        </w:rPr>
        <w:t>最大回撤：-21.2%</w:t>
      </w:r>
    </w:p>
    <w:p>
      <w:r>
        <w:rPr>
          <w:b/>
        </w:rPr>
        <w:t>夏普比率：1.09</w:t>
      </w:r>
    </w:p>
    <w:p>
      <w:r>
        <w:rPr>
          <w:b/>
        </w:rPr>
        <w:t>Calmar比率：1.03</w:t>
      </w:r>
    </w:p>
    <w:p>
      <w:r>
        <w:t>周胜率：43.6%</w:t>
      </w:r>
    </w:p>
    <w:p>
      <w:r>
        <w:t>交易次数：915次买入 / 913次卖出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2010</w:t>
            </w:r>
          </w:p>
        </w:tc>
        <w:tc>
          <w:tcPr>
            <w:tcW w:type="dxa" w:w="2160"/>
          </w:tcPr>
          <w:p>
            <w:r>
              <w:t>+11.8%</w:t>
            </w:r>
          </w:p>
        </w:tc>
        <w:tc>
          <w:tcPr>
            <w:tcW w:type="dxa" w:w="2160"/>
          </w:tcPr>
          <w:p>
            <w:r>
              <w:t>-3.5%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2011</w:t>
            </w:r>
          </w:p>
        </w:tc>
        <w:tc>
          <w:tcPr>
            <w:tcW w:type="dxa" w:w="2160"/>
          </w:tcPr>
          <w:p>
            <w:r>
              <w:t>-0.6%</w:t>
            </w:r>
          </w:p>
        </w:tc>
        <w:tc>
          <w:tcPr>
            <w:tcW w:type="dxa" w:w="2160"/>
          </w:tcPr>
          <w:p>
            <w:r>
              <w:t>-3.0%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2012</w:t>
            </w:r>
          </w:p>
        </w:tc>
        <w:tc>
          <w:tcPr>
            <w:tcW w:type="dxa" w:w="2160"/>
          </w:tcPr>
          <w:p>
            <w:r>
              <w:t>-10.9%</w:t>
            </w:r>
          </w:p>
        </w:tc>
        <w:tc>
          <w:tcPr>
            <w:tcW w:type="dxa" w:w="2160"/>
          </w:tcPr>
          <w:p>
            <w:r>
              <w:t>-11.2%</w:t>
            </w:r>
          </w:p>
        </w:tc>
        <w:tc>
          <w:tcPr>
            <w:tcW w:type="dxa" w:w="2160"/>
          </w:tcPr>
          <w:p>
            <w:r>
              <w:t>42%</w:t>
            </w:r>
          </w:p>
        </w:tc>
      </w:tr>
      <w:tr>
        <w:tc>
          <w:tcPr>
            <w:tcW w:type="dxa" w:w="2160"/>
          </w:tcPr>
          <w:p>
            <w:r>
              <w:t>2013</w:t>
            </w:r>
          </w:p>
        </w:tc>
        <w:tc>
          <w:tcPr>
            <w:tcW w:type="dxa" w:w="2160"/>
          </w:tcPr>
          <w:p>
            <w:r>
              <w:t>-2.5%</w:t>
            </w:r>
          </w:p>
        </w:tc>
        <w:tc>
          <w:tcPr>
            <w:tcW w:type="dxa" w:w="2160"/>
          </w:tcPr>
          <w:p>
            <w:r>
              <w:t>-12.7%</w:t>
            </w:r>
          </w:p>
        </w:tc>
        <w:tc>
          <w:tcPr>
            <w:tcW w:type="dxa" w:w="2160"/>
          </w:tcPr>
          <w:p>
            <w:r>
              <w:t>52%</w:t>
            </w:r>
          </w:p>
        </w:tc>
      </w:tr>
      <w:tr>
        <w:tc>
          <w:tcPr>
            <w:tcW w:type="dxa" w:w="2160"/>
          </w:tcPr>
          <w:p>
            <w:r>
              <w:t>2014</w:t>
            </w:r>
          </w:p>
        </w:tc>
        <w:tc>
          <w:tcPr>
            <w:tcW w:type="dxa" w:w="2160"/>
          </w:tcPr>
          <w:p>
            <w:r>
              <w:t>+11.6%</w:t>
            </w:r>
          </w:p>
        </w:tc>
        <w:tc>
          <w:tcPr>
            <w:tcW w:type="dxa" w:w="2160"/>
          </w:tcPr>
          <w:p>
            <w:r>
              <w:t>-8.1%</w:t>
            </w:r>
          </w:p>
        </w:tc>
        <w:tc>
          <w:tcPr>
            <w:tcW w:type="dxa" w:w="2160"/>
          </w:tcPr>
          <w:p>
            <w:r>
              <w:t>66%</w:t>
            </w:r>
          </w:p>
        </w:tc>
      </w:tr>
      <w:tr>
        <w:tc>
          <w:tcPr>
            <w:tcW w:type="dxa" w:w="2160"/>
          </w:tcPr>
          <w:p>
            <w:r>
              <w:t>2015</w:t>
            </w:r>
          </w:p>
        </w:tc>
        <w:tc>
          <w:tcPr>
            <w:tcW w:type="dxa" w:w="2160"/>
          </w:tcPr>
          <w:p>
            <w:r>
              <w:t>+5.9%</w:t>
            </w:r>
          </w:p>
        </w:tc>
        <w:tc>
          <w:tcPr>
            <w:tcW w:type="dxa" w:w="2160"/>
          </w:tcPr>
          <w:p>
            <w:r>
              <w:t>-9.6%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2016</w:t>
            </w:r>
          </w:p>
        </w:tc>
        <w:tc>
          <w:tcPr>
            <w:tcW w:type="dxa" w:w="2160"/>
          </w:tcPr>
          <w:p>
            <w:r>
              <w:t>+32.3%</w:t>
            </w:r>
          </w:p>
        </w:tc>
        <w:tc>
          <w:tcPr>
            <w:tcW w:type="dxa" w:w="2160"/>
          </w:tcPr>
          <w:p>
            <w:r>
              <w:t>-4.3%</w:t>
            </w:r>
          </w:p>
        </w:tc>
        <w:tc>
          <w:tcPr>
            <w:tcW w:type="dxa" w:w="2160"/>
          </w:tcPr>
          <w:p>
            <w:r>
              <w:t>69%</w:t>
            </w:r>
          </w:p>
        </w:tc>
      </w:tr>
      <w:tr>
        <w:tc>
          <w:tcPr>
            <w:tcW w:type="dxa" w:w="2160"/>
          </w:tcPr>
          <w:p>
            <w:r>
              <w:t>2017</w:t>
            </w:r>
          </w:p>
        </w:tc>
        <w:tc>
          <w:tcPr>
            <w:tcW w:type="dxa" w:w="2160"/>
          </w:tcPr>
          <w:p>
            <w:r>
              <w:t>+6.3%</w:t>
            </w:r>
          </w:p>
        </w:tc>
        <w:tc>
          <w:tcPr>
            <w:tcW w:type="dxa" w:w="2160"/>
          </w:tcPr>
          <w:p>
            <w:r>
              <w:t>-10.9%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2018</w:t>
            </w:r>
          </w:p>
        </w:tc>
        <w:tc>
          <w:tcPr>
            <w:tcW w:type="dxa" w:w="2160"/>
          </w:tcPr>
          <w:p>
            <w:r>
              <w:t>+19.3%</w:t>
            </w:r>
          </w:p>
        </w:tc>
        <w:tc>
          <w:tcPr>
            <w:tcW w:type="dxa" w:w="2160"/>
          </w:tcPr>
          <w:p>
            <w:r>
              <w:t>-15.5%</w:t>
            </w:r>
          </w:p>
        </w:tc>
        <w:tc>
          <w:tcPr>
            <w:tcW w:type="dxa" w:w="2160"/>
          </w:tcPr>
          <w:p>
            <w:r>
              <w:t>87%</w:t>
            </w:r>
          </w:p>
        </w:tc>
      </w:tr>
      <w:tr>
        <w:tc>
          <w:tcPr>
            <w:tcW w:type="dxa" w:w="2160"/>
          </w:tcPr>
          <w:p>
            <w:r>
              <w:t>2019</w:t>
            </w:r>
          </w:p>
        </w:tc>
        <w:tc>
          <w:tcPr>
            <w:tcW w:type="dxa" w:w="2160"/>
          </w:tcPr>
          <w:p>
            <w:r>
              <w:t>+57.6%</w:t>
            </w:r>
          </w:p>
        </w:tc>
        <w:tc>
          <w:tcPr>
            <w:tcW w:type="dxa" w:w="2160"/>
          </w:tcPr>
          <w:p>
            <w:r>
              <w:t>-7.0%</w:t>
            </w:r>
          </w:p>
        </w:tc>
        <w:tc>
          <w:tcPr>
            <w:tcW w:type="dxa" w:w="2160"/>
          </w:tcPr>
          <w:p>
            <w:r>
              <w:t>92%</w:t>
            </w:r>
          </w:p>
        </w:tc>
      </w:tr>
      <w:tr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+28.2%</w:t>
            </w:r>
          </w:p>
        </w:tc>
        <w:tc>
          <w:tcPr>
            <w:tcW w:type="dxa" w:w="2160"/>
          </w:tcPr>
          <w:p>
            <w:r>
              <w:t>-11.0%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+78.1%</w:t>
            </w:r>
          </w:p>
        </w:tc>
        <w:tc>
          <w:tcPr>
            <w:tcW w:type="dxa" w:w="2160"/>
          </w:tcPr>
          <w:p>
            <w:r>
              <w:t>-5.3%</w:t>
            </w:r>
          </w:p>
        </w:tc>
        <w:tc>
          <w:tcPr>
            <w:tcW w:type="dxa" w:w="2160"/>
          </w:tcPr>
          <w:p>
            <w:r>
              <w:t>99%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+10.4%</w:t>
            </w:r>
          </w:p>
        </w:tc>
        <w:tc>
          <w:tcPr>
            <w:tcW w:type="dxa" w:w="2160"/>
          </w:tcPr>
          <w:p>
            <w:r>
              <w:t>-16.6%</w:t>
            </w:r>
          </w:p>
        </w:tc>
        <w:tc>
          <w:tcPr>
            <w:tcW w:type="dxa" w:w="2160"/>
          </w:tcPr>
          <w:p>
            <w:r>
              <w:t>88%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+19.7%</w:t>
            </w:r>
          </w:p>
        </w:tc>
        <w:tc>
          <w:tcPr>
            <w:tcW w:type="dxa" w:w="2160"/>
          </w:tcPr>
          <w:p>
            <w:r>
              <w:t>-9.7%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+17.5%</w:t>
            </w:r>
          </w:p>
        </w:tc>
        <w:tc>
          <w:tcPr>
            <w:tcW w:type="dxa" w:w="2160"/>
          </w:tcPr>
          <w:p>
            <w:r>
              <w:t>-14.4%</w:t>
            </w:r>
          </w:p>
        </w:tc>
        <w:tc>
          <w:tcPr>
            <w:tcW w:type="dxa" w:w="2160"/>
          </w:tcPr>
          <w:p>
            <w:r>
              <w:t>99%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+99.7%</w:t>
            </w:r>
          </w:p>
        </w:tc>
        <w:tc>
          <w:tcPr>
            <w:tcW w:type="dxa" w:w="2160"/>
          </w:tcPr>
          <w:p>
            <w:r>
              <w:t>-9.9%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2010-W02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2010-W30</w:t>
            </w:r>
          </w:p>
        </w:tc>
        <w:tc>
          <w:tcPr>
            <w:tcW w:type="dxa" w:w="2160"/>
          </w:tcPr>
          <w:p>
            <w:r>
              <w:t>1.0365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2011-W05</w:t>
            </w:r>
          </w:p>
        </w:tc>
        <w:tc>
          <w:tcPr>
            <w:tcW w:type="dxa" w:w="2160"/>
          </w:tcPr>
          <w:p>
            <w:r>
              <w:t>1.1178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2011-W32</w:t>
            </w:r>
          </w:p>
        </w:tc>
        <w:tc>
          <w:tcPr>
            <w:tcW w:type="dxa" w:w="2160"/>
          </w:tcPr>
          <w:p>
            <w:r>
              <w:t>1.1112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2012-W09</w:t>
            </w:r>
          </w:p>
        </w:tc>
        <w:tc>
          <w:tcPr>
            <w:tcW w:type="dxa" w:w="2160"/>
          </w:tcPr>
          <w:p>
            <w:r>
              <w:t>1.1112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2012-W36</w:t>
            </w:r>
          </w:p>
        </w:tc>
        <w:tc>
          <w:tcPr>
            <w:tcW w:type="dxa" w:w="2160"/>
          </w:tcPr>
          <w:p>
            <w:r>
              <w:t>1.0364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2013-W13</w:t>
            </w:r>
          </w:p>
        </w:tc>
        <w:tc>
          <w:tcPr>
            <w:tcW w:type="dxa" w:w="2160"/>
          </w:tcPr>
          <w:p>
            <w:r>
              <w:t>1.0490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2013-W40</w:t>
            </w:r>
          </w:p>
        </w:tc>
        <w:tc>
          <w:tcPr>
            <w:tcW w:type="dxa" w:w="2160"/>
          </w:tcPr>
          <w:p>
            <w:r>
              <w:t>1.0668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2014-W15</w:t>
            </w:r>
          </w:p>
        </w:tc>
        <w:tc>
          <w:tcPr>
            <w:tcW w:type="dxa" w:w="2160"/>
          </w:tcPr>
          <w:p>
            <w:r>
              <w:t>0.9412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2014-W42</w:t>
            </w:r>
          </w:p>
        </w:tc>
        <w:tc>
          <w:tcPr>
            <w:tcW w:type="dxa" w:w="2160"/>
          </w:tcPr>
          <w:p>
            <w:r>
              <w:t>1.0252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2015-W17</w:t>
            </w:r>
          </w:p>
        </w:tc>
        <w:tc>
          <w:tcPr>
            <w:tcW w:type="dxa" w:w="2160"/>
          </w:tcPr>
          <w:p>
            <w:r>
              <w:t>1.2463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2015-W44</w:t>
            </w:r>
          </w:p>
        </w:tc>
        <w:tc>
          <w:tcPr>
            <w:tcW w:type="dxa" w:w="2160"/>
          </w:tcPr>
          <w:p>
            <w:r>
              <w:t>1.1980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2016-W19</w:t>
            </w:r>
          </w:p>
        </w:tc>
        <w:tc>
          <w:tcPr>
            <w:tcW w:type="dxa" w:w="2160"/>
          </w:tcPr>
          <w:p>
            <w:r>
              <w:t>1.1463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2016-W47</w:t>
            </w:r>
          </w:p>
        </w:tc>
        <w:tc>
          <w:tcPr>
            <w:tcW w:type="dxa" w:w="2160"/>
          </w:tcPr>
          <w:p>
            <w:r>
              <w:t>1.2818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2017-W22</w:t>
            </w:r>
          </w:p>
        </w:tc>
        <w:tc>
          <w:tcPr>
            <w:tcW w:type="dxa" w:w="2160"/>
          </w:tcPr>
          <w:p>
            <w:r>
              <w:t>1.2656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2017-W50</w:t>
            </w:r>
          </w:p>
        </w:tc>
        <w:tc>
          <w:tcPr>
            <w:tcW w:type="dxa" w:w="2160"/>
          </w:tcPr>
          <w:p>
            <w:r>
              <w:t>1.3938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2018-W25</w:t>
            </w:r>
          </w:p>
        </w:tc>
        <w:tc>
          <w:tcPr>
            <w:tcW w:type="dxa" w:w="2160"/>
          </w:tcPr>
          <w:p>
            <w:r>
              <w:t>1.8486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2019-W02</w:t>
            </w:r>
          </w:p>
        </w:tc>
        <w:tc>
          <w:tcPr>
            <w:tcW w:type="dxa" w:w="2160"/>
          </w:tcPr>
          <w:p>
            <w:r>
              <w:t>1.6987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2019-W30</w:t>
            </w:r>
          </w:p>
        </w:tc>
        <w:tc>
          <w:tcPr>
            <w:tcW w:type="dxa" w:w="2160"/>
          </w:tcPr>
          <w:p>
            <w:r>
              <w:t>2.5543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2020-W06</w:t>
            </w:r>
          </w:p>
        </w:tc>
        <w:tc>
          <w:tcPr>
            <w:tcW w:type="dxa" w:w="2160"/>
          </w:tcPr>
          <w:p>
            <w:r>
              <w:t>2.7780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2020-W33</w:t>
            </w:r>
          </w:p>
        </w:tc>
        <w:tc>
          <w:tcPr>
            <w:tcW w:type="dxa" w:w="2160"/>
          </w:tcPr>
          <w:p>
            <w:r>
              <w:t>3.2146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2021-W07</w:t>
            </w:r>
          </w:p>
        </w:tc>
        <w:tc>
          <w:tcPr>
            <w:tcW w:type="dxa" w:w="2160"/>
          </w:tcPr>
          <w:p>
            <w:r>
              <w:t>4.0226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2021-W34</w:t>
            </w:r>
          </w:p>
        </w:tc>
        <w:tc>
          <w:tcPr>
            <w:tcW w:type="dxa" w:w="2160"/>
          </w:tcPr>
          <w:p>
            <w:r>
              <w:t>5.6860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2022-W10</w:t>
            </w:r>
          </w:p>
        </w:tc>
        <w:tc>
          <w:tcPr>
            <w:tcW w:type="dxa" w:w="2160"/>
          </w:tcPr>
          <w:p>
            <w:r>
              <w:t>7.6105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2022-W37</w:t>
            </w:r>
          </w:p>
        </w:tc>
        <w:tc>
          <w:tcPr>
            <w:tcW w:type="dxa" w:w="2160"/>
          </w:tcPr>
          <w:p>
            <w:r>
              <w:t>6.6199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2023-W14</w:t>
            </w:r>
          </w:p>
        </w:tc>
        <w:tc>
          <w:tcPr>
            <w:tcW w:type="dxa" w:w="2160"/>
          </w:tcPr>
          <w:p>
            <w:r>
              <w:t>9.0855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2023-W42</w:t>
            </w:r>
          </w:p>
        </w:tc>
        <w:tc>
          <w:tcPr>
            <w:tcW w:type="dxa" w:w="2160"/>
          </w:tcPr>
          <w:p>
            <w:r>
              <w:t>9.1293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2024-W19</w:t>
            </w:r>
          </w:p>
        </w:tc>
        <w:tc>
          <w:tcPr>
            <w:tcW w:type="dxa" w:w="2160"/>
          </w:tcPr>
          <w:p>
            <w:r>
              <w:t>11.9475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2024-W46</w:t>
            </w:r>
          </w:p>
        </w:tc>
        <w:tc>
          <w:tcPr>
            <w:tcW w:type="dxa" w:w="2160"/>
          </w:tcPr>
          <w:p>
            <w:r>
              <w:t>10.4782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2025-W21</w:t>
            </w:r>
          </w:p>
        </w:tc>
        <w:tc>
          <w:tcPr>
            <w:tcW w:type="dxa" w:w="2160"/>
          </w:tcPr>
          <w:p>
            <w:r>
              <w:t>14.5575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2025-W48</w:t>
            </w:r>
          </w:p>
        </w:tc>
        <w:tc>
          <w:tcPr>
            <w:tcW w:type="dxa" w:w="2160"/>
          </w:tcPr>
          <w:p>
            <w:r>
              <w:t>21.3825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2025-W52</w:t>
            </w:r>
          </w:p>
        </w:tc>
        <w:tc>
          <w:tcPr>
            <w:tcW w:type="dxa" w:w="2160"/>
          </w:tcPr>
          <w:p>
            <w:r>
              <w:t>21.9469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