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周线动量策略 回测报告 (v4.2)</w:t>
      </w:r>
    </w:p>
    <w:p>
      <w:r>
        <w:t>策略参数：MA5/21 LB3 D10.0 H3</w:t>
      </w:r>
    </w:p>
    <w:p>
      <w:r>
        <w:t>生成时间：2026-06-07 23:13:13</w:t>
      </w:r>
    </w:p>
    <w:p/>
    <w:p>
      <w:pPr>
        <w:pStyle w:val="Heading1"/>
      </w:pPr>
      <w:r>
        <w:t>一、回测参数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参数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max_dev</w:t>
            </w:r>
          </w:p>
        </w:tc>
        <w:tc>
          <w:tcPr>
            <w:tcW w:type="dxa" w:w="4320"/>
          </w:tcPr>
          <w:p>
            <w:r>
              <w:t>10.0</w:t>
            </w:r>
          </w:p>
        </w:tc>
      </w:tr>
      <w:tr>
        <w:tc>
          <w:tcPr>
            <w:tcW w:type="dxa" w:w="4320"/>
          </w:tcPr>
          <w:p>
            <w:r>
              <w:t>top_n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lb</w:t>
            </w:r>
          </w:p>
        </w:tc>
        <w:tc>
          <w:tcPr>
            <w:tcW w:type="dxa" w:w="4320"/>
          </w:tcPr>
          <w:p>
            <w:r>
              <w:t>3</w:t>
            </w:r>
          </w:p>
        </w:tc>
      </w:tr>
      <w:tr>
        <w:tc>
          <w:tcPr>
            <w:tcW w:type="dxa" w:w="4320"/>
          </w:tcPr>
          <w:p>
            <w:r>
              <w:t>ma_s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ma_l</w:t>
            </w:r>
          </w:p>
        </w:tc>
        <w:tc>
          <w:tcPr>
            <w:tcW w:type="dxa" w:w="4320"/>
          </w:tcPr>
          <w:p>
            <w:r>
              <w:t>21</w:t>
            </w:r>
          </w:p>
        </w:tc>
      </w:tr>
      <w:tr>
        <w:tc>
          <w:tcPr>
            <w:tcW w:type="dxa" w:w="4320"/>
          </w:tcPr>
          <w:p>
            <w:r>
              <w:t>capital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start</w:t>
            </w:r>
          </w:p>
        </w:tc>
        <w:tc>
          <w:tcPr>
            <w:tcW w:type="dxa" w:w="4320"/>
          </w:tcPr>
          <w:p>
            <w:r>
              <w:t>2010-W01</w:t>
            </w:r>
          </w:p>
        </w:tc>
      </w:tr>
      <w:tr>
        <w:tc>
          <w:tcPr>
            <w:tcW w:type="dxa" w:w="4320"/>
          </w:tcPr>
          <w:p>
            <w:r>
              <w:t>end</w:t>
            </w:r>
          </w:p>
        </w:tc>
        <w:tc>
          <w:tcPr>
            <w:tcW w:type="dxa" w:w="4320"/>
          </w:tcPr>
          <w:p>
            <w:r>
              <w:t>2018-W52</w:t>
            </w:r>
          </w:p>
        </w:tc>
      </w:tr>
      <w:tr>
        <w:tc>
          <w:tcPr>
            <w:tcW w:type="dxa" w:w="4320"/>
          </w:tcPr>
          <w:p>
            <w:r>
              <w:t>hs300_threshold</w:t>
            </w:r>
          </w:p>
        </w:tc>
        <w:tc>
          <w:tcPr>
            <w:tcW w:type="dxa" w:w="4320"/>
          </w:tcPr>
          <w:p>
            <w:r>
              <w:t>-100.0</w:t>
            </w:r>
          </w:p>
        </w:tc>
      </w:tr>
      <w:tr>
        <w:tc>
          <w:tcPr>
            <w:tcW w:type="dxa" w:w="4320"/>
          </w:tcPr>
          <w:p>
            <w:r>
              <w:t>output</w:t>
            </w:r>
          </w:p>
        </w:tc>
        <w:tc>
          <w:tcPr>
            <w:tcW w:type="dxa" w:w="4320"/>
          </w:tcPr>
          <w:p>
            <w:r>
              <w:t>D:/QClaw_Trading/backtest_results/scan_5_21_3_10_3_2010W01_2018W52.json</w:t>
            </w:r>
          </w:p>
        </w:tc>
      </w:tr>
    </w:tbl>
    <w:p/>
    <w:p>
      <w:pPr>
        <w:pStyle w:val="Heading1"/>
      </w:pPr>
      <w:r>
        <w:t>二、回测结果</w:t>
      </w:r>
    </w:p>
    <w:p>
      <w:r>
        <w:t>回测区间：2010-W01 ~ 2018-W52（410周，7.9年）</w:t>
      </w:r>
    </w:p>
    <w:p>
      <w:r>
        <w:rPr>
          <w:b/>
        </w:rPr>
        <w:t>总收益率：+36.5%</w:t>
      </w:r>
    </w:p>
    <w:p>
      <w:r>
        <w:rPr>
          <w:b/>
        </w:rPr>
        <w:t>年化收益率：+4.0%</w:t>
      </w:r>
    </w:p>
    <w:p>
      <w:r>
        <w:rPr>
          <w:b/>
        </w:rPr>
        <w:t>最大回撤：-12.5%</w:t>
      </w:r>
    </w:p>
    <w:p>
      <w:r>
        <w:rPr>
          <w:b/>
        </w:rPr>
        <w:t>夏普比率：0.24</w:t>
      </w:r>
    </w:p>
    <w:p>
      <w:r>
        <w:rPr>
          <w:b/>
        </w:rPr>
        <w:t>Calmar比率：0.32</w:t>
      </w:r>
    </w:p>
    <w:p>
      <w:r>
        <w:t>周胜率：23.2%</w:t>
      </w:r>
    </w:p>
    <w:p>
      <w:r>
        <w:t>交易次数：230次买入 / 227次卖出</w:t>
      </w:r>
    </w:p>
    <w:p/>
    <w:p>
      <w:pPr>
        <w:pStyle w:val="Heading1"/>
      </w:pPr>
      <w:r>
        <w:t>三、逐年表现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年份</w:t>
            </w:r>
          </w:p>
        </w:tc>
        <w:tc>
          <w:tcPr>
            <w:tcW w:type="dxa" w:w="2160"/>
          </w:tcPr>
          <w:p>
            <w:r>
              <w:t>收益率</w:t>
            </w:r>
          </w:p>
        </w:tc>
        <w:tc>
          <w:tcPr>
            <w:tcW w:type="dxa" w:w="2160"/>
          </w:tcPr>
          <w:p>
            <w:r>
              <w:t>最大回撤</w:t>
            </w:r>
          </w:p>
        </w:tc>
        <w:tc>
          <w:tcPr>
            <w:tcW w:type="dxa" w:w="2160"/>
          </w:tcPr>
          <w:p>
            <w:r>
              <w:t>平均持仓占比</w:t>
            </w:r>
          </w:p>
        </w:tc>
      </w:tr>
      <w:tr>
        <w:tc>
          <w:tcPr>
            <w:tcW w:type="dxa" w:w="2160"/>
          </w:tcPr>
          <w:p>
            <w:r>
              <w:t>2010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</w:t>
            </w:r>
          </w:p>
        </w:tc>
        <w:tc>
          <w:tcPr>
            <w:tcW w:type="dxa" w:w="2160"/>
          </w:tcPr>
          <w:p>
            <w:r>
              <w:t>+0.0%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</w:t>
            </w:r>
          </w:p>
        </w:tc>
        <w:tc>
          <w:tcPr>
            <w:tcW w:type="dxa" w:w="2160"/>
          </w:tcPr>
          <w:p>
            <w:r>
              <w:t>-2.3%</w:t>
            </w:r>
          </w:p>
        </w:tc>
        <w:tc>
          <w:tcPr>
            <w:tcW w:type="dxa" w:w="2160"/>
          </w:tcPr>
          <w:p>
            <w:r>
              <w:t>-7.2%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2013</w:t>
            </w:r>
          </w:p>
        </w:tc>
        <w:tc>
          <w:tcPr>
            <w:tcW w:type="dxa" w:w="2160"/>
          </w:tcPr>
          <w:p>
            <w:r>
              <w:t>+12.7%</w:t>
            </w:r>
          </w:p>
        </w:tc>
        <w:tc>
          <w:tcPr>
            <w:tcW w:type="dxa" w:w="2160"/>
          </w:tcPr>
          <w:p>
            <w:r>
              <w:t>-3.7%</w:t>
            </w:r>
          </w:p>
        </w:tc>
        <w:tc>
          <w:tcPr>
            <w:tcW w:type="dxa" w:w="2160"/>
          </w:tcPr>
          <w:p>
            <w:r>
              <w:t>19%</w:t>
            </w:r>
          </w:p>
        </w:tc>
      </w:tr>
      <w:tr>
        <w:tc>
          <w:tcPr>
            <w:tcW w:type="dxa" w:w="2160"/>
          </w:tcPr>
          <w:p>
            <w:r>
              <w:t>2014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-8.4%</w:t>
            </w:r>
          </w:p>
        </w:tc>
        <w:tc>
          <w:tcPr>
            <w:tcW w:type="dxa" w:w="2160"/>
          </w:tcPr>
          <w:p>
            <w:r>
              <w:t>22%</w:t>
            </w:r>
          </w:p>
        </w:tc>
      </w:tr>
      <w:tr>
        <w:tc>
          <w:tcPr>
            <w:tcW w:type="dxa" w:w="2160"/>
          </w:tcPr>
          <w:p>
            <w:r>
              <w:t>2015</w:t>
            </w:r>
          </w:p>
        </w:tc>
        <w:tc>
          <w:tcPr>
            <w:tcW w:type="dxa" w:w="2160"/>
          </w:tcPr>
          <w:p>
            <w:r>
              <w:t>+1.2%</w:t>
            </w:r>
          </w:p>
        </w:tc>
        <w:tc>
          <w:tcPr>
            <w:tcW w:type="dxa" w:w="2160"/>
          </w:tcPr>
          <w:p>
            <w:r>
              <w:t>-1.5%</w:t>
            </w:r>
          </w:p>
        </w:tc>
        <w:tc>
          <w:tcPr>
            <w:tcW w:type="dxa" w:w="2160"/>
          </w:tcPr>
          <w:p>
            <w:r>
              <w:t>6%</w:t>
            </w:r>
          </w:p>
        </w:tc>
      </w:tr>
      <w:tr>
        <w:tc>
          <w:tcPr>
            <w:tcW w:type="dxa" w:w="2160"/>
          </w:tcPr>
          <w:p>
            <w:r>
              <w:t>2016</w:t>
            </w:r>
          </w:p>
        </w:tc>
        <w:tc>
          <w:tcPr>
            <w:tcW w:type="dxa" w:w="2160"/>
          </w:tcPr>
          <w:p>
            <w:r>
              <w:t>+7.4%</w:t>
            </w:r>
          </w:p>
        </w:tc>
        <w:tc>
          <w:tcPr>
            <w:tcW w:type="dxa" w:w="2160"/>
          </w:tcPr>
          <w:p>
            <w:r>
              <w:t>-7.8%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2017</w:t>
            </w:r>
          </w:p>
        </w:tc>
        <w:tc>
          <w:tcPr>
            <w:tcW w:type="dxa" w:w="2160"/>
          </w:tcPr>
          <w:p>
            <w:r>
              <w:t>+2.6%</w:t>
            </w:r>
          </w:p>
        </w:tc>
        <w:tc>
          <w:tcPr>
            <w:tcW w:type="dxa" w:w="2160"/>
          </w:tcPr>
          <w:p>
            <w:r>
              <w:t>-4.8%</w:t>
            </w:r>
          </w:p>
        </w:tc>
        <w:tc>
          <w:tcPr>
            <w:tcW w:type="dxa" w:w="2160"/>
          </w:tcPr>
          <w:p>
            <w:r>
              <w:t>57%</w:t>
            </w:r>
          </w:p>
        </w:tc>
      </w:tr>
      <w:tr>
        <w:tc>
          <w:tcPr>
            <w:tcW w:type="dxa" w:w="2160"/>
          </w:tcPr>
          <w:p>
            <w:r>
              <w:t>2018</w:t>
            </w:r>
          </w:p>
        </w:tc>
        <w:tc>
          <w:tcPr>
            <w:tcW w:type="dxa" w:w="2160"/>
          </w:tcPr>
          <w:p>
            <w:r>
              <w:t>+19.8%</w:t>
            </w:r>
          </w:p>
        </w:tc>
        <w:tc>
          <w:tcPr>
            <w:tcW w:type="dxa" w:w="2160"/>
          </w:tcPr>
          <w:p>
            <w:r>
              <w:t>-12.5%</w:t>
            </w:r>
          </w:p>
        </w:tc>
        <w:tc>
          <w:tcPr>
            <w:tcW w:type="dxa" w:w="2160"/>
          </w:tcPr>
          <w:p>
            <w:r>
              <w:t>78%</w:t>
            </w:r>
          </w:p>
        </w:tc>
      </w:tr>
    </w:tbl>
    <w:p/>
    <w:p>
      <w:pPr>
        <w:pStyle w:val="Heading1"/>
      </w:pPr>
      <w:r>
        <w:t>四、权益曲线（摘要）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周次</w:t>
            </w:r>
          </w:p>
        </w:tc>
        <w:tc>
          <w:tcPr>
            <w:tcW w:type="dxa" w:w="2160"/>
          </w:tcPr>
          <w:p>
            <w:r>
              <w:t>权益</w:t>
            </w:r>
          </w:p>
        </w:tc>
        <w:tc>
          <w:tcPr>
            <w:tcW w:type="dxa" w:w="2160"/>
          </w:tcPr>
          <w:p>
            <w:r>
              <w:t>持仓数</w:t>
            </w:r>
          </w:p>
        </w:tc>
        <w:tc>
          <w:tcPr>
            <w:tcW w:type="dxa" w:w="2160"/>
          </w:tcPr>
          <w:p>
            <w:r>
              <w:t>占比</w:t>
            </w:r>
          </w:p>
        </w:tc>
      </w:tr>
      <w:tr>
        <w:tc>
          <w:tcPr>
            <w:tcW w:type="dxa" w:w="2160"/>
          </w:tcPr>
          <w:p>
            <w:r>
              <w:t>2010-W52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2011-W13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2011-W26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2011-W39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2012-W01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2012-W15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2012-W28</w:t>
            </w:r>
          </w:p>
        </w:tc>
        <w:tc>
          <w:tcPr>
            <w:tcW w:type="dxa" w:w="2160"/>
          </w:tcPr>
          <w:p>
            <w:r>
              <w:t>0.9992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2012-W42</w:t>
            </w:r>
          </w:p>
        </w:tc>
        <w:tc>
          <w:tcPr>
            <w:tcW w:type="dxa" w:w="2160"/>
          </w:tcPr>
          <w:p>
            <w:r>
              <w:t>1.0016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2013-W03</w:t>
            </w:r>
          </w:p>
        </w:tc>
        <w:tc>
          <w:tcPr>
            <w:tcW w:type="dxa" w:w="2160"/>
          </w:tcPr>
          <w:p>
            <w:r>
              <w:t>0.9773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2013-W17</w:t>
            </w:r>
          </w:p>
        </w:tc>
        <w:tc>
          <w:tcPr>
            <w:tcW w:type="dxa" w:w="2160"/>
          </w:tcPr>
          <w:p>
            <w:r>
              <w:t>0.9802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2013-W30</w:t>
            </w:r>
          </w:p>
        </w:tc>
        <w:tc>
          <w:tcPr>
            <w:tcW w:type="dxa" w:w="2160"/>
          </w:tcPr>
          <w:p>
            <w:r>
              <w:t>1.0129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2013-W43</w:t>
            </w:r>
          </w:p>
        </w:tc>
        <w:tc>
          <w:tcPr>
            <w:tcW w:type="dxa" w:w="2160"/>
          </w:tcPr>
          <w:p>
            <w:r>
              <w:t>1.1216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2014-W04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2014-W17</w:t>
            </w:r>
          </w:p>
        </w:tc>
        <w:tc>
          <w:tcPr>
            <w:tcW w:type="dxa" w:w="2160"/>
          </w:tcPr>
          <w:p>
            <w:r>
              <w:t>1.0513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2014-W30</w:t>
            </w:r>
          </w:p>
        </w:tc>
        <w:tc>
          <w:tcPr>
            <w:tcW w:type="dxa" w:w="2160"/>
          </w:tcPr>
          <w:p>
            <w:r>
              <w:t>1.0643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2014-W43</w:t>
            </w:r>
          </w:p>
        </w:tc>
        <w:tc>
          <w:tcPr>
            <w:tcW w:type="dxa" w:w="2160"/>
          </w:tcPr>
          <w:p>
            <w:r>
              <w:t>1.0196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2015-W04</w:t>
            </w:r>
          </w:p>
        </w:tc>
        <w:tc>
          <w:tcPr>
            <w:tcW w:type="dxa" w:w="2160"/>
          </w:tcPr>
          <w:p>
            <w:r>
              <w:t>1.0090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2015-W17</w:t>
            </w:r>
          </w:p>
        </w:tc>
        <w:tc>
          <w:tcPr>
            <w:tcW w:type="dxa" w:w="2160"/>
          </w:tcPr>
          <w:p>
            <w:r>
              <w:t>1.0363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2015-W30</w:t>
            </w:r>
          </w:p>
        </w:tc>
        <w:tc>
          <w:tcPr>
            <w:tcW w:type="dxa" w:w="2160"/>
          </w:tcPr>
          <w:p>
            <w:r>
              <w:t>1.0292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2015-W43</w:t>
            </w:r>
          </w:p>
        </w:tc>
        <w:tc>
          <w:tcPr>
            <w:tcW w:type="dxa" w:w="2160"/>
          </w:tcPr>
          <w:p>
            <w:r>
              <w:t>1.0330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2016-W03</w:t>
            </w:r>
          </w:p>
        </w:tc>
        <w:tc>
          <w:tcPr>
            <w:tcW w:type="dxa" w:w="2160"/>
          </w:tcPr>
          <w:p>
            <w:r>
              <w:t>1.0213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2016-W17</w:t>
            </w:r>
          </w:p>
        </w:tc>
        <w:tc>
          <w:tcPr>
            <w:tcW w:type="dxa" w:w="2160"/>
          </w:tcPr>
          <w:p>
            <w:r>
              <w:t>1.1205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2016-W30</w:t>
            </w:r>
          </w:p>
        </w:tc>
        <w:tc>
          <w:tcPr>
            <w:tcW w:type="dxa" w:w="2160"/>
          </w:tcPr>
          <w:p>
            <w:r>
              <w:t>1.0740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2016-W44</w:t>
            </w:r>
          </w:p>
        </w:tc>
        <w:tc>
          <w:tcPr>
            <w:tcW w:type="dxa" w:w="2160"/>
          </w:tcPr>
          <w:p>
            <w:r>
              <w:t>1.0455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2017-W05</w:t>
            </w:r>
          </w:p>
        </w:tc>
        <w:tc>
          <w:tcPr>
            <w:tcW w:type="dxa" w:w="2160"/>
          </w:tcPr>
          <w:p>
            <w:r>
              <w:t>1.0823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2017-W18</w:t>
            </w:r>
          </w:p>
        </w:tc>
        <w:tc>
          <w:tcPr>
            <w:tcW w:type="dxa" w:w="2160"/>
          </w:tcPr>
          <w:p>
            <w:r>
              <w:t>1.0581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2017-W31</w:t>
            </w:r>
          </w:p>
        </w:tc>
        <w:tc>
          <w:tcPr>
            <w:tcW w:type="dxa" w:w="2160"/>
          </w:tcPr>
          <w:p>
            <w:r>
              <w:t>1.0500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0%</w:t>
            </w:r>
          </w:p>
        </w:tc>
      </w:tr>
      <w:tr>
        <w:tc>
          <w:tcPr>
            <w:tcW w:type="dxa" w:w="2160"/>
          </w:tcPr>
          <w:p>
            <w:r>
              <w:t>2017-W45</w:t>
            </w:r>
          </w:p>
        </w:tc>
        <w:tc>
          <w:tcPr>
            <w:tcW w:type="dxa" w:w="2160"/>
          </w:tcPr>
          <w:p>
            <w:r>
              <w:t>1.1131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2018-W06</w:t>
            </w:r>
          </w:p>
        </w:tc>
        <w:tc>
          <w:tcPr>
            <w:tcW w:type="dxa" w:w="2160"/>
          </w:tcPr>
          <w:p>
            <w:r>
              <w:t>1.0873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67%</w:t>
            </w:r>
          </w:p>
        </w:tc>
      </w:tr>
      <w:tr>
        <w:tc>
          <w:tcPr>
            <w:tcW w:type="dxa" w:w="2160"/>
          </w:tcPr>
          <w:p>
            <w:r>
              <w:t>2018-W19</w:t>
            </w:r>
          </w:p>
        </w:tc>
        <w:tc>
          <w:tcPr>
            <w:tcW w:type="dxa" w:w="2160"/>
          </w:tcPr>
          <w:p>
            <w:r>
              <w:t>1.2457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2018-W32</w:t>
            </w:r>
          </w:p>
        </w:tc>
        <w:tc>
          <w:tcPr>
            <w:tcW w:type="dxa" w:w="2160"/>
          </w:tcPr>
          <w:p>
            <w:r>
              <w:t>1.3467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  <w:tr>
        <w:tc>
          <w:tcPr>
            <w:tcW w:type="dxa" w:w="2160"/>
          </w:tcPr>
          <w:p>
            <w:r>
              <w:t>2018-W46</w:t>
            </w:r>
          </w:p>
        </w:tc>
        <w:tc>
          <w:tcPr>
            <w:tcW w:type="dxa" w:w="2160"/>
          </w:tcPr>
          <w:p>
            <w:r>
              <w:t>1.3567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33%</w:t>
            </w:r>
          </w:p>
        </w:tc>
      </w:tr>
      <w:tr>
        <w:tc>
          <w:tcPr>
            <w:tcW w:type="dxa" w:w="2160"/>
          </w:tcPr>
          <w:p>
            <w:r>
              <w:t>2018-W52</w:t>
            </w:r>
          </w:p>
        </w:tc>
        <w:tc>
          <w:tcPr>
            <w:tcW w:type="dxa" w:w="2160"/>
          </w:tcPr>
          <w:p>
            <w:r>
              <w:t>1.3647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100%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