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00:23:42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总收益率：+793.0%</w:t>
      </w:r>
    </w:p>
    <w:p>
      <w:r>
        <w:rPr>
          <w:b/>
        </w:rPr>
        <w:t>年化收益率：+35.6%</w:t>
      </w:r>
    </w:p>
    <w:p>
      <w:r>
        <w:rPr>
          <w:b/>
        </w:rPr>
        <w:t>最大回撤：-1371.4%</w:t>
      </w:r>
    </w:p>
    <w:p>
      <w:r>
        <w:rPr>
          <w:b/>
        </w:rPr>
        <w:t>夏普比率：1.45</w:t>
      </w:r>
    </w:p>
    <w:p>
      <w:r>
        <w:rPr>
          <w:b/>
        </w:rPr>
        <w:t>Calmar比率：1.29</w:t>
      </w:r>
    </w:p>
    <w:p>
      <w:r>
        <w:t>周胜率：54.7%</w:t>
      </w:r>
    </w:p>
    <w:p>
      <w:r>
        <w:t>交易次数：843次买入 / 841次卖出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+44.5%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+54.1%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+10.7%</w:t>
            </w:r>
          </w:p>
        </w:tc>
        <w:tc>
          <w:tcPr>
            <w:tcW w:type="dxa" w:w="2160"/>
          </w:tcPr>
          <w:p>
            <w:r>
              <w:t>-20.2%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+15.9%</w:t>
            </w:r>
          </w:p>
        </w:tc>
        <w:tc>
          <w:tcPr>
            <w:tcW w:type="dxa" w:w="2160"/>
          </w:tcPr>
          <w:p>
            <w:r>
              <w:t>-9.4%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  <w:tc>
          <w:tcPr>
            <w:tcW w:type="dxa" w:w="2160"/>
          </w:tcPr>
          <w:p>
            <w:r>
              <w:t>-23.8%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+128.7%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-13.7%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1.2909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1.3932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1.4412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1.4334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1.4557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1.8072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1.9491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2.4097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2.9594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2.8793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3.3840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3.0728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2.8603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3.2757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3.9232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3.8580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3.9461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3.7186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4.4401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4.7327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4.1044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4.0351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4.9681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5.1581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5.9803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8.0504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9.2040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8.7666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8.9298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