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D15.0 H3</w:t>
      </w:r>
    </w:p>
    <w:p>
      <w:r>
        <w:t>生成时间：2026-06-07 23:13:37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D:/QClaw_Trading/backtest_results/scan_5_21_3_15_3_2010W01_2018W52.json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总收益率：+14.8%</w:t>
      </w:r>
    </w:p>
    <w:p>
      <w:r>
        <w:rPr>
          <w:b/>
        </w:rPr>
        <w:t>年化收益率：+1.8%</w:t>
      </w:r>
    </w:p>
    <w:p>
      <w:r>
        <w:rPr>
          <w:b/>
        </w:rPr>
        <w:t>最大回撤：-19.5%</w:t>
      </w:r>
    </w:p>
    <w:p>
      <w:r>
        <w:rPr>
          <w:b/>
        </w:rPr>
        <w:t>夏普比率：0.03</w:t>
      </w:r>
    </w:p>
    <w:p>
      <w:r>
        <w:rPr>
          <w:b/>
        </w:rPr>
        <w:t>Calmar比率：0.09</w:t>
      </w:r>
    </w:p>
    <w:p>
      <w:r>
        <w:t>周胜率：27.9%</w:t>
      </w:r>
    </w:p>
    <w:p>
      <w:r>
        <w:t>交易次数：248次买入 / 245次卖出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+9.5%</w:t>
            </w:r>
          </w:p>
        </w:tc>
        <w:tc>
          <w:tcPr>
            <w:tcW w:type="dxa" w:w="2160"/>
          </w:tcPr>
          <w:p>
            <w:r>
              <w:t>-8.1%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-4.5%</w:t>
            </w:r>
          </w:p>
        </w:tc>
        <w:tc>
          <w:tcPr>
            <w:tcW w:type="dxa" w:w="2160"/>
          </w:tcPr>
          <w:p>
            <w:r>
              <w:t>-5.8%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+6.9%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-1.7%</w:t>
            </w:r>
          </w:p>
        </w:tc>
        <w:tc>
          <w:tcPr>
            <w:tcW w:type="dxa" w:w="2160"/>
          </w:tcPr>
          <w:p>
            <w:r>
              <w:t>-9.5%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+4.8%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59%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+11.9%</w:t>
            </w:r>
          </w:p>
        </w:tc>
        <w:tc>
          <w:tcPr>
            <w:tcW w:type="dxa" w:w="2160"/>
          </w:tcPr>
          <w:p>
            <w:r>
              <w:t>-14.8%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0.9969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0.9311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0.9413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0.9742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1.0762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0.9999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1.0006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0.9873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0.9737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1.0541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1.0468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1.0507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0.9578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1.0125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0.9482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0.9186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0.9291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0.9226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0.9775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0.9500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1.0830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1.1234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1.1383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1.1475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