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周线动量策略 回测报告 (v4.2)</w:t>
      </w:r>
    </w:p>
    <w:p>
      <w:r>
        <w:t>策略参数：MA5/21 LB3 D15.0 H3</w:t>
      </w:r>
    </w:p>
    <w:p>
      <w:r>
        <w:t>生成时间：2026-06-07 23:13:40</w:t>
      </w:r>
    </w:p>
    <w:p/>
    <w:p>
      <w:pPr>
        <w:pStyle w:val="Heading1"/>
      </w:pPr>
      <w:r>
        <w:t>一、回测参数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max_dev</w:t>
            </w:r>
          </w:p>
        </w:tc>
        <w:tc>
          <w:tcPr>
            <w:tcW w:type="dxa" w:w="4320"/>
          </w:tcPr>
          <w:p>
            <w:r>
              <w:t>15.0</w:t>
            </w:r>
          </w:p>
        </w:tc>
      </w:tr>
      <w:tr>
        <w:tc>
          <w:tcPr>
            <w:tcW w:type="dxa" w:w="4320"/>
          </w:tcPr>
          <w:p>
            <w:r>
              <w:t>top_n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lb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ma_s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ma_l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capital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start</w:t>
            </w:r>
          </w:p>
        </w:tc>
        <w:tc>
          <w:tcPr>
            <w:tcW w:type="dxa" w:w="4320"/>
          </w:tcPr>
          <w:p>
            <w:r>
              <w:t>2019-W01</w:t>
            </w:r>
          </w:p>
        </w:tc>
      </w:tr>
      <w:tr>
        <w:tc>
          <w:tcPr>
            <w:tcW w:type="dxa" w:w="4320"/>
          </w:tcPr>
          <w:p>
            <w:r>
              <w:t>end</w:t>
            </w:r>
          </w:p>
        </w:tc>
        <w:tc>
          <w:tcPr>
            <w:tcW w:type="dxa" w:w="4320"/>
          </w:tcPr>
          <w:p>
            <w:r>
              <w:t>2026-W18</w:t>
            </w:r>
          </w:p>
        </w:tc>
      </w:tr>
      <w:tr>
        <w:tc>
          <w:tcPr>
            <w:tcW w:type="dxa" w:w="4320"/>
          </w:tcPr>
          <w:p>
            <w:r>
              <w:t>hs300_threshold</w:t>
            </w:r>
          </w:p>
        </w:tc>
        <w:tc>
          <w:tcPr>
            <w:tcW w:type="dxa" w:w="4320"/>
          </w:tcPr>
          <w:p>
            <w:r>
              <w:t>-100.0</w:t>
            </w:r>
          </w:p>
        </w:tc>
      </w:tr>
      <w:tr>
        <w:tc>
          <w:tcPr>
            <w:tcW w:type="dxa" w:w="4320"/>
          </w:tcPr>
          <w:p>
            <w:r>
              <w:t>output</w:t>
            </w:r>
          </w:p>
        </w:tc>
        <w:tc>
          <w:tcPr>
            <w:tcW w:type="dxa" w:w="4320"/>
          </w:tcPr>
          <w:p>
            <w:r>
              <w:t>D:/QClaw_Trading/backtest_results/scan_5_21_3_15_3_2019W01_2026W18.json</w:t>
            </w:r>
          </w:p>
        </w:tc>
      </w:tr>
    </w:tbl>
    <w:p/>
    <w:p>
      <w:pPr>
        <w:pStyle w:val="Heading1"/>
      </w:pPr>
      <w:r>
        <w:t>二、回测结果</w:t>
      </w:r>
    </w:p>
    <w:p>
      <w:r>
        <w:t>回测区间：2019-W01 ~ 2026-W18（374周，7.2年）</w:t>
      </w:r>
    </w:p>
    <w:p>
      <w:r>
        <w:rPr>
          <w:b/>
        </w:rPr>
        <w:t>总收益率：+793.0%</w:t>
      </w:r>
    </w:p>
    <w:p>
      <w:r>
        <w:rPr>
          <w:b/>
        </w:rPr>
        <w:t>年化收益率：+35.6%</w:t>
      </w:r>
    </w:p>
    <w:p>
      <w:r>
        <w:rPr>
          <w:b/>
        </w:rPr>
        <w:t>最大回撤：-27.5%</w:t>
      </w:r>
    </w:p>
    <w:p>
      <w:r>
        <w:rPr>
          <w:b/>
        </w:rPr>
        <w:t>夏普比率：1.45</w:t>
      </w:r>
    </w:p>
    <w:p>
      <w:r>
        <w:rPr>
          <w:b/>
        </w:rPr>
        <w:t>Calmar比率：1.29</w:t>
      </w:r>
    </w:p>
    <w:p>
      <w:r>
        <w:t>周胜率：54.7%</w:t>
      </w:r>
    </w:p>
    <w:p>
      <w:r>
        <w:t>交易次数：843次买入 / 841次卖出</w:t>
      </w:r>
    </w:p>
    <w:p/>
    <w:p>
      <w:pPr>
        <w:pStyle w:val="Heading1"/>
      </w:pPr>
      <w:r>
        <w:t>三、逐年表现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年份</w:t>
            </w:r>
          </w:p>
        </w:tc>
        <w:tc>
          <w:tcPr>
            <w:tcW w:type="dxa" w:w="2160"/>
          </w:tcPr>
          <w:p>
            <w:r>
              <w:t>收益率</w:t>
            </w:r>
          </w:p>
        </w:tc>
        <w:tc>
          <w:tcPr>
            <w:tcW w:type="dxa" w:w="2160"/>
          </w:tcPr>
          <w:p>
            <w:r>
              <w:t>最大回撤</w:t>
            </w:r>
          </w:p>
        </w:tc>
        <w:tc>
          <w:tcPr>
            <w:tcW w:type="dxa" w:w="2160"/>
          </w:tcPr>
          <w:p>
            <w:r>
              <w:t>平均持仓占比</w:t>
            </w:r>
          </w:p>
        </w:tc>
      </w:tr>
      <w:tr>
        <w:tc>
          <w:tcPr>
            <w:tcW w:type="dxa" w:w="2160"/>
          </w:tcPr>
          <w:p>
            <w:r>
              <w:t>2019</w:t>
            </w:r>
          </w:p>
        </w:tc>
        <w:tc>
          <w:tcPr>
            <w:tcW w:type="dxa" w:w="2160"/>
          </w:tcPr>
          <w:p>
            <w:r>
              <w:t>+44.5%</w:t>
            </w:r>
          </w:p>
        </w:tc>
        <w:tc>
          <w:tcPr>
            <w:tcW w:type="dxa" w:w="2160"/>
          </w:tcPr>
          <w:p>
            <w:r>
              <w:t>-10.5%</w:t>
            </w:r>
          </w:p>
        </w:tc>
        <w:tc>
          <w:tcPr>
            <w:tcW w:type="dxa" w:w="2160"/>
          </w:tcPr>
          <w:p>
            <w:r>
              <w:t>93%</w:t>
            </w:r>
          </w:p>
        </w:tc>
      </w:tr>
      <w:tr>
        <w:tc>
          <w:tcPr>
            <w:tcW w:type="dxa" w:w="2160"/>
          </w:tcPr>
          <w:p>
            <w:r>
              <w:t>2020</w:t>
            </w:r>
          </w:p>
        </w:tc>
        <w:tc>
          <w:tcPr>
            <w:tcW w:type="dxa" w:w="2160"/>
          </w:tcPr>
          <w:p>
            <w:r>
              <w:t>+19.4%</w:t>
            </w:r>
          </w:p>
        </w:tc>
        <w:tc>
          <w:tcPr>
            <w:tcW w:type="dxa" w:w="2160"/>
          </w:tcPr>
          <w:p>
            <w:r>
              <w:t>-10.4%</w:t>
            </w:r>
          </w:p>
        </w:tc>
        <w:tc>
          <w:tcPr>
            <w:tcW w:type="dxa" w:w="2160"/>
          </w:tcPr>
          <w:p>
            <w:r>
              <w:t>91%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+54.1%</w:t>
            </w:r>
          </w:p>
        </w:tc>
        <w:tc>
          <w:tcPr>
            <w:tcW w:type="dxa" w:w="2160"/>
          </w:tcPr>
          <w:p>
            <w:r>
              <w:t>-5.7%</w:t>
            </w:r>
          </w:p>
        </w:tc>
        <w:tc>
          <w:tcPr>
            <w:tcW w:type="dxa" w:w="2160"/>
          </w:tcPr>
          <w:p>
            <w:r>
              <w:t>99%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+10.7%</w:t>
            </w:r>
          </w:p>
        </w:tc>
        <w:tc>
          <w:tcPr>
            <w:tcW w:type="dxa" w:w="2160"/>
          </w:tcPr>
          <w:p>
            <w:r>
              <w:t>-20.2%</w:t>
            </w:r>
          </w:p>
        </w:tc>
        <w:tc>
          <w:tcPr>
            <w:tcW w:type="dxa" w:w="2160"/>
          </w:tcPr>
          <w:p>
            <w:r>
              <w:t>89%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+15.9%</w:t>
            </w:r>
          </w:p>
        </w:tc>
        <w:tc>
          <w:tcPr>
            <w:tcW w:type="dxa" w:w="2160"/>
          </w:tcPr>
          <w:p>
            <w:r>
              <w:t>-9.4%</w:t>
            </w:r>
          </w:p>
        </w:tc>
        <w:tc>
          <w:tcPr>
            <w:tcW w:type="dxa" w:w="2160"/>
          </w:tcPr>
          <w:p>
            <w:r>
              <w:t>98%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+2.9%</w:t>
            </w:r>
          </w:p>
        </w:tc>
        <w:tc>
          <w:tcPr>
            <w:tcW w:type="dxa" w:w="2160"/>
          </w:tcPr>
          <w:p>
            <w:r>
              <w:t>-23.8%</w:t>
            </w:r>
          </w:p>
        </w:tc>
        <w:tc>
          <w:tcPr>
            <w:tcW w:type="dxa" w:w="2160"/>
          </w:tcPr>
          <w:p>
            <w:r>
              <w:t>99%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+128.7%</w:t>
            </w:r>
          </w:p>
        </w:tc>
        <w:tc>
          <w:tcPr>
            <w:tcW w:type="dxa" w:w="2160"/>
          </w:tcPr>
          <w:p>
            <w:r>
              <w:t>-8.0%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+11.2%</w:t>
            </w:r>
          </w:p>
        </w:tc>
        <w:tc>
          <w:tcPr>
            <w:tcW w:type="dxa" w:w="2160"/>
          </w:tcPr>
          <w:p>
            <w:r>
              <w:t>-13.7%</w:t>
            </w:r>
          </w:p>
        </w:tc>
        <w:tc>
          <w:tcPr>
            <w:tcW w:type="dxa" w:w="2160"/>
          </w:tcPr>
          <w:p>
            <w:r>
              <w:t>84%</w:t>
            </w:r>
          </w:p>
        </w:tc>
      </w:tr>
    </w:tbl>
    <w:p/>
    <w:p>
      <w:pPr>
        <w:pStyle w:val="Heading1"/>
      </w:pPr>
      <w:r>
        <w:t>四、权益曲线（摘要）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周次</w:t>
            </w:r>
          </w:p>
        </w:tc>
        <w:tc>
          <w:tcPr>
            <w:tcW w:type="dxa" w:w="2160"/>
          </w:tcPr>
          <w:p>
            <w:r>
              <w:t>权益</w:t>
            </w:r>
          </w:p>
        </w:tc>
        <w:tc>
          <w:tcPr>
            <w:tcW w:type="dxa" w:w="2160"/>
          </w:tcPr>
          <w:p>
            <w:r>
              <w:t>持仓数</w:t>
            </w:r>
          </w:p>
        </w:tc>
        <w:tc>
          <w:tcPr>
            <w:tcW w:type="dxa" w:w="2160"/>
          </w:tcPr>
          <w:p>
            <w:r>
              <w:t>占比</w:t>
            </w:r>
          </w:p>
        </w:tc>
      </w:tr>
      <w:tr>
        <w:tc>
          <w:tcPr>
            <w:tcW w:type="dxa" w:w="2160"/>
          </w:tcPr>
          <w:p>
            <w:r>
              <w:t>2019-W02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2019-W15</w:t>
            </w:r>
          </w:p>
        </w:tc>
        <w:tc>
          <w:tcPr>
            <w:tcW w:type="dxa" w:w="2160"/>
          </w:tcPr>
          <w:p>
            <w:r>
              <w:t>1.2909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2019-W27</w:t>
            </w:r>
          </w:p>
        </w:tc>
        <w:tc>
          <w:tcPr>
            <w:tcW w:type="dxa" w:w="2160"/>
          </w:tcPr>
          <w:p>
            <w:r>
              <w:t>1.3932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2019-W39</w:t>
            </w:r>
          </w:p>
        </w:tc>
        <w:tc>
          <w:tcPr>
            <w:tcW w:type="dxa" w:w="2160"/>
          </w:tcPr>
          <w:p>
            <w:r>
              <w:t>1.4793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2019-W51</w:t>
            </w:r>
          </w:p>
        </w:tc>
        <w:tc>
          <w:tcPr>
            <w:tcW w:type="dxa" w:w="2160"/>
          </w:tcPr>
          <w:p>
            <w:r>
              <w:t>1.4412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2020-W12</w:t>
            </w:r>
          </w:p>
        </w:tc>
        <w:tc>
          <w:tcPr>
            <w:tcW w:type="dxa" w:w="2160"/>
          </w:tcPr>
          <w:p>
            <w:r>
              <w:t>1.4334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2020-W24</w:t>
            </w:r>
          </w:p>
        </w:tc>
        <w:tc>
          <w:tcPr>
            <w:tcW w:type="dxa" w:w="2160"/>
          </w:tcPr>
          <w:p>
            <w:r>
              <w:t>1.4557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2020-W36</w:t>
            </w:r>
          </w:p>
        </w:tc>
        <w:tc>
          <w:tcPr>
            <w:tcW w:type="dxa" w:w="2160"/>
          </w:tcPr>
          <w:p>
            <w:r>
              <w:t>1.6171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2020-W48</w:t>
            </w:r>
          </w:p>
        </w:tc>
        <w:tc>
          <w:tcPr>
            <w:tcW w:type="dxa" w:w="2160"/>
          </w:tcPr>
          <w:p>
            <w:r>
              <w:t>1.8072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2021-W07</w:t>
            </w:r>
          </w:p>
        </w:tc>
        <w:tc>
          <w:tcPr>
            <w:tcW w:type="dxa" w:w="2160"/>
          </w:tcPr>
          <w:p>
            <w:r>
              <w:t>1.9491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2021-W19</w:t>
            </w:r>
          </w:p>
        </w:tc>
        <w:tc>
          <w:tcPr>
            <w:tcW w:type="dxa" w:w="2160"/>
          </w:tcPr>
          <w:p>
            <w:r>
              <w:t>2.0507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2021-W31</w:t>
            </w:r>
          </w:p>
        </w:tc>
        <w:tc>
          <w:tcPr>
            <w:tcW w:type="dxa" w:w="2160"/>
          </w:tcPr>
          <w:p>
            <w:r>
              <w:t>2.4097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2021-W43</w:t>
            </w:r>
          </w:p>
        </w:tc>
        <w:tc>
          <w:tcPr>
            <w:tcW w:type="dxa" w:w="2160"/>
          </w:tcPr>
          <w:p>
            <w:r>
              <w:t>2.9594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2022-W03</w:t>
            </w:r>
          </w:p>
        </w:tc>
        <w:tc>
          <w:tcPr>
            <w:tcW w:type="dxa" w:w="2160"/>
          </w:tcPr>
          <w:p>
            <w:r>
              <w:t>2.8793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2022-W16</w:t>
            </w:r>
          </w:p>
        </w:tc>
        <w:tc>
          <w:tcPr>
            <w:tcW w:type="dxa" w:w="2160"/>
          </w:tcPr>
          <w:p>
            <w:r>
              <w:t>3.3840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2022-W28</w:t>
            </w:r>
          </w:p>
        </w:tc>
        <w:tc>
          <w:tcPr>
            <w:tcW w:type="dxa" w:w="2160"/>
          </w:tcPr>
          <w:p>
            <w:r>
              <w:t>3.0728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2022-W41</w:t>
            </w:r>
          </w:p>
        </w:tc>
        <w:tc>
          <w:tcPr>
            <w:tcW w:type="dxa" w:w="2160"/>
          </w:tcPr>
          <w:p>
            <w:r>
              <w:t>2.8603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2023-W01</w:t>
            </w:r>
          </w:p>
        </w:tc>
        <w:tc>
          <w:tcPr>
            <w:tcW w:type="dxa" w:w="2160"/>
          </w:tcPr>
          <w:p>
            <w:r>
              <w:t>3.2757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2023-W14</w:t>
            </w:r>
          </w:p>
        </w:tc>
        <w:tc>
          <w:tcPr>
            <w:tcW w:type="dxa" w:w="2160"/>
          </w:tcPr>
          <w:p>
            <w:r>
              <w:t>3.9232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2023-W26</w:t>
            </w:r>
          </w:p>
        </w:tc>
        <w:tc>
          <w:tcPr>
            <w:tcW w:type="dxa" w:w="2160"/>
          </w:tcPr>
          <w:p>
            <w:r>
              <w:t>3.8580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2023-W38</w:t>
            </w:r>
          </w:p>
        </w:tc>
        <w:tc>
          <w:tcPr>
            <w:tcW w:type="dxa" w:w="2160"/>
          </w:tcPr>
          <w:p>
            <w:r>
              <w:t>3.9461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2023-W51</w:t>
            </w:r>
          </w:p>
        </w:tc>
        <w:tc>
          <w:tcPr>
            <w:tcW w:type="dxa" w:w="2160"/>
          </w:tcPr>
          <w:p>
            <w:r>
              <w:t>3.7186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2024-W12</w:t>
            </w:r>
          </w:p>
        </w:tc>
        <w:tc>
          <w:tcPr>
            <w:tcW w:type="dxa" w:w="2160"/>
          </w:tcPr>
          <w:p>
            <w:r>
              <w:t>4.4401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2024-W24</w:t>
            </w:r>
          </w:p>
        </w:tc>
        <w:tc>
          <w:tcPr>
            <w:tcW w:type="dxa" w:w="2160"/>
          </w:tcPr>
          <w:p>
            <w:r>
              <w:t>4.7327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2024-W36</w:t>
            </w:r>
          </w:p>
        </w:tc>
        <w:tc>
          <w:tcPr>
            <w:tcW w:type="dxa" w:w="2160"/>
          </w:tcPr>
          <w:p>
            <w:r>
              <w:t>4.1044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2024-W48</w:t>
            </w:r>
          </w:p>
        </w:tc>
        <w:tc>
          <w:tcPr>
            <w:tcW w:type="dxa" w:w="2160"/>
          </w:tcPr>
          <w:p>
            <w:r>
              <w:t>4.0351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2025-W08</w:t>
            </w:r>
          </w:p>
        </w:tc>
        <w:tc>
          <w:tcPr>
            <w:tcW w:type="dxa" w:w="2160"/>
          </w:tcPr>
          <w:p>
            <w:r>
              <w:t>4.9681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2025-W20</w:t>
            </w:r>
          </w:p>
        </w:tc>
        <w:tc>
          <w:tcPr>
            <w:tcW w:type="dxa" w:w="2160"/>
          </w:tcPr>
          <w:p>
            <w:r>
              <w:t>5.1581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2025-W32</w:t>
            </w:r>
          </w:p>
        </w:tc>
        <w:tc>
          <w:tcPr>
            <w:tcW w:type="dxa" w:w="2160"/>
          </w:tcPr>
          <w:p>
            <w:r>
              <w:t>5.9803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2025-W44</w:t>
            </w:r>
          </w:p>
        </w:tc>
        <w:tc>
          <w:tcPr>
            <w:tcW w:type="dxa" w:w="2160"/>
          </w:tcPr>
          <w:p>
            <w:r>
              <w:t>8.0504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2026-W04</w:t>
            </w:r>
          </w:p>
        </w:tc>
        <w:tc>
          <w:tcPr>
            <w:tcW w:type="dxa" w:w="2160"/>
          </w:tcPr>
          <w:p>
            <w:r>
              <w:t>9.2040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2026-W17</w:t>
            </w:r>
          </w:p>
        </w:tc>
        <w:tc>
          <w:tcPr>
            <w:tcW w:type="dxa" w:w="2160"/>
          </w:tcPr>
          <w:p>
            <w:r>
              <w:t>8.7666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2026-W18</w:t>
            </w:r>
          </w:p>
        </w:tc>
        <w:tc>
          <w:tcPr>
            <w:tcW w:type="dxa" w:w="2160"/>
          </w:tcPr>
          <w:p>
            <w:r>
              <w:t>8.9298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