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23:13:34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D:/QClaw_Trading/backtest_results/scan_5_21_3_5_3_2019W01_2026W18.json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总收益率：+184.2%</w:t>
      </w:r>
    </w:p>
    <w:p>
      <w:r>
        <w:rPr>
          <w:b/>
        </w:rPr>
        <w:t>年化收益率：+15.6%</w:t>
      </w:r>
    </w:p>
    <w:p>
      <w:r>
        <w:rPr>
          <w:b/>
        </w:rPr>
        <w:t>最大回撤：-25.0%</w:t>
      </w:r>
    </w:p>
    <w:p>
      <w:r>
        <w:rPr>
          <w:b/>
        </w:rPr>
        <w:t>夏普比率：0.92</w:t>
      </w:r>
    </w:p>
    <w:p>
      <w:r>
        <w:rPr>
          <w:b/>
        </w:rPr>
        <w:t>Calmar比率：0.62</w:t>
      </w:r>
    </w:p>
    <w:p>
      <w:r>
        <w:t>周胜率：51.5%</w:t>
      </w:r>
    </w:p>
    <w:p>
      <w:r>
        <w:t>交易次数：752次买入 / 750次卖出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+43.0%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-21.7%</w:t>
            </w:r>
          </w:p>
        </w:tc>
        <w:tc>
          <w:tcPr>
            <w:tcW w:type="dxa" w:w="2160"/>
          </w:tcPr>
          <w:p>
            <w:r>
              <w:t>-25.0%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+3.4%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+14.7%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+22.7%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-13.3%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1.1143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1.1235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1.1273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1.2211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1.5309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1.6045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1.9917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2.4183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2.4048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2.3660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2.1333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2.0423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1.9407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2.0409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2.0754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2.1579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2.0587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2.1275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2.4205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2.1450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2.3182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2.6651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2.4613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2.8538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3.1984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2.7718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2.8425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