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00:23:22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总收益率：+20.8%</w:t>
      </w:r>
    </w:p>
    <w:p>
      <w:r>
        <w:rPr>
          <w:b/>
        </w:rPr>
        <w:t>年化收益率：+2.4%</w:t>
      </w:r>
    </w:p>
    <w:p>
      <w:r>
        <w:rPr>
          <w:b/>
        </w:rPr>
        <w:t>最大回撤：-1346.1%</w:t>
      </w:r>
    </w:p>
    <w:p>
      <w:r>
        <w:rPr>
          <w:b/>
        </w:rPr>
        <w:t>夏普比率：0.09</w:t>
      </w:r>
    </w:p>
    <w:p>
      <w:r>
        <w:rPr>
          <w:b/>
        </w:rPr>
        <w:t>Calmar比率：0.14</w:t>
      </w:r>
    </w:p>
    <w:p>
      <w:r>
        <w:t>周胜率：25.4%</w:t>
      </w:r>
    </w:p>
    <w:p>
      <w:r>
        <w:t>交易次数：255次买入 / 252次卖出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-2.9%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+2.3%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-14.0%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-4.0%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+18.3%</w:t>
            </w:r>
          </w:p>
        </w:tc>
        <w:tc>
          <w:tcPr>
            <w:tcW w:type="dxa" w:w="2160"/>
          </w:tcPr>
          <w:p>
            <w:r>
              <w:t>-13.5%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0.9959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0.9706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0.9726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1.0990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1.0654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0.9566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0.9558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0.9459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0.9715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0.9644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0.9645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0.9680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0.9942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0.9451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0.9449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1.0195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1.1301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1.1986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1.2077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