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周线动量策略 回测报告 (v4.2)</w:t>
      </w:r>
    </w:p>
    <w:p>
      <w:r>
        <w:t>策略参数：MA5/21 LB4 D10.0 H3</w:t>
      </w:r>
    </w:p>
    <w:p>
      <w:r>
        <w:t>生成时间：2026-06-07 23:13:24</w:t>
      </w:r>
    </w:p>
    <w:p/>
    <w:p>
      <w:pPr>
        <w:pStyle w:val="Heading1"/>
      </w:pPr>
      <w:r>
        <w:t>一、回测参数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max_dev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top_n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lb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ma_s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ma_l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capital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2019-W01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2026-W18</w:t>
            </w:r>
          </w:p>
        </w:tc>
      </w:tr>
      <w:tr>
        <w:tc>
          <w:tcPr>
            <w:tcW w:type="dxa" w:w="4320"/>
          </w:tcPr>
          <w:p>
            <w:r>
              <w:t>hs300_threshold</w:t>
            </w:r>
          </w:p>
        </w:tc>
        <w:tc>
          <w:tcPr>
            <w:tcW w:type="dxa" w:w="4320"/>
          </w:tcPr>
          <w:p>
            <w:r>
              <w:t>-100.0</w:t>
            </w:r>
          </w:p>
        </w:tc>
      </w:tr>
      <w:tr>
        <w:tc>
          <w:tcPr>
            <w:tcW w:type="dxa" w:w="4320"/>
          </w:tcPr>
          <w:p>
            <w:r>
              <w:t>output</w:t>
            </w:r>
          </w:p>
        </w:tc>
        <w:tc>
          <w:tcPr>
            <w:tcW w:type="dxa" w:w="4320"/>
          </w:tcPr>
          <w:p>
            <w:r>
              <w:t>D:/QClaw_Trading/backtest_results/scan_5_21_4_10_3_2019W01_2026W18.json</w:t>
            </w:r>
          </w:p>
        </w:tc>
      </w:tr>
    </w:tbl>
    <w:p/>
    <w:p>
      <w:pPr>
        <w:pStyle w:val="Heading1"/>
      </w:pPr>
      <w:r>
        <w:t>二、回测结果</w:t>
      </w:r>
    </w:p>
    <w:p>
      <w:r>
        <w:t>回测区间：2019-W01 ~ 2026-W18（374周，7.2年）</w:t>
      </w:r>
    </w:p>
    <w:p>
      <w:r>
        <w:rPr>
          <w:b/>
        </w:rPr>
        <w:t>总收益率：+709.6%</w:t>
      </w:r>
    </w:p>
    <w:p>
      <w:r>
        <w:rPr>
          <w:b/>
        </w:rPr>
        <w:t>年化收益率：+33.7%</w:t>
      </w:r>
    </w:p>
    <w:p>
      <w:r>
        <w:rPr>
          <w:b/>
        </w:rPr>
        <w:t>最大回撤：-16.1%</w:t>
      </w:r>
    </w:p>
    <w:p>
      <w:r>
        <w:rPr>
          <w:b/>
        </w:rPr>
        <w:t>夏普比率：1.50</w:t>
      </w:r>
    </w:p>
    <w:p>
      <w:r>
        <w:rPr>
          <w:b/>
        </w:rPr>
        <w:t>Calmar比率：2.09</w:t>
      </w:r>
    </w:p>
    <w:p>
      <w:r>
        <w:t>周胜率：59.0%</w:t>
      </w:r>
    </w:p>
    <w:p>
      <w:r>
        <w:t>交易次数：837次买入 / 834次卖出</w:t>
      </w:r>
    </w:p>
    <w:p/>
    <w:p>
      <w:pPr>
        <w:pStyle w:val="Heading1"/>
      </w:pPr>
      <w:r>
        <w:t>三、逐年表现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收益率</w:t>
            </w:r>
          </w:p>
        </w:tc>
        <w:tc>
          <w:tcPr>
            <w:tcW w:type="dxa" w:w="2160"/>
          </w:tcPr>
          <w:p>
            <w:r>
              <w:t>最大回撤</w:t>
            </w:r>
          </w:p>
        </w:tc>
        <w:tc>
          <w:tcPr>
            <w:tcW w:type="dxa" w:w="2160"/>
          </w:tcPr>
          <w:p>
            <w:r>
              <w:t>平均持仓占比</w:t>
            </w:r>
          </w:p>
        </w:tc>
      </w:tr>
      <w:tr>
        <w:tc>
          <w:tcPr>
            <w:tcW w:type="dxa" w:w="2160"/>
          </w:tcPr>
          <w:p>
            <w:r>
              <w:t>2019</w:t>
            </w:r>
          </w:p>
        </w:tc>
        <w:tc>
          <w:tcPr>
            <w:tcW w:type="dxa" w:w="2160"/>
          </w:tcPr>
          <w:p>
            <w:r>
              <w:t>+36.3%</w:t>
            </w:r>
          </w:p>
        </w:tc>
        <w:tc>
          <w:tcPr>
            <w:tcW w:type="dxa" w:w="2160"/>
          </w:tcPr>
          <w:p>
            <w:r>
              <w:t>-7.9%</w:t>
            </w:r>
          </w:p>
        </w:tc>
        <w:tc>
          <w:tcPr>
            <w:tcW w:type="dxa" w:w="2160"/>
          </w:tcPr>
          <w:p>
            <w:r>
              <w:t>91%</w:t>
            </w:r>
          </w:p>
        </w:tc>
      </w:tr>
      <w:tr>
        <w:tc>
          <w:tcPr>
            <w:tcW w:type="dxa" w:w="2160"/>
          </w:tcPr>
          <w:p>
            <w:r>
              <w:t>2020</w:t>
            </w:r>
          </w:p>
        </w:tc>
        <w:tc>
          <w:tcPr>
            <w:tcW w:type="dxa" w:w="2160"/>
          </w:tcPr>
          <w:p>
            <w:r>
              <w:t>+23.5%</w:t>
            </w:r>
          </w:p>
        </w:tc>
        <w:tc>
          <w:tcPr>
            <w:tcW w:type="dxa" w:w="2160"/>
          </w:tcPr>
          <w:p>
            <w:r>
              <w:t>-11.6%</w:t>
            </w:r>
          </w:p>
        </w:tc>
        <w:tc>
          <w:tcPr>
            <w:tcW w:type="dxa" w:w="2160"/>
          </w:tcPr>
          <w:p>
            <w:r>
              <w:t>91%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+34.6%</w:t>
            </w:r>
          </w:p>
        </w:tc>
        <w:tc>
          <w:tcPr>
            <w:tcW w:type="dxa" w:w="2160"/>
          </w:tcPr>
          <w:p>
            <w:r>
              <w:t>-7.0%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+10.6%</w:t>
            </w:r>
          </w:p>
        </w:tc>
        <w:tc>
          <w:tcPr>
            <w:tcW w:type="dxa" w:w="2160"/>
          </w:tcPr>
          <w:p>
            <w:r>
              <w:t>-16.1%</w:t>
            </w:r>
          </w:p>
        </w:tc>
        <w:tc>
          <w:tcPr>
            <w:tcW w:type="dxa" w:w="2160"/>
          </w:tcPr>
          <w:p>
            <w:r>
              <w:t>87%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+2.7%</w:t>
            </w:r>
          </w:p>
        </w:tc>
        <w:tc>
          <w:tcPr>
            <w:tcW w:type="dxa" w:w="2160"/>
          </w:tcPr>
          <w:p>
            <w:r>
              <w:t>-12.1%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+17.3%</w:t>
            </w:r>
          </w:p>
        </w:tc>
        <w:tc>
          <w:tcPr>
            <w:tcW w:type="dxa" w:w="2160"/>
          </w:tcPr>
          <w:p>
            <w:r>
              <w:t>-5.9%</w:t>
            </w:r>
          </w:p>
        </w:tc>
        <w:tc>
          <w:tcPr>
            <w:tcW w:type="dxa" w:w="2160"/>
          </w:tcPr>
          <w:p>
            <w:r>
              <w:t>97%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+111.3%</w:t>
            </w:r>
          </w:p>
        </w:tc>
        <w:tc>
          <w:tcPr>
            <w:tcW w:type="dxa" w:w="2160"/>
          </w:tcPr>
          <w:p>
            <w:r>
              <w:t>-9.3%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+16.2%</w:t>
            </w:r>
          </w:p>
        </w:tc>
        <w:tc>
          <w:tcPr>
            <w:tcW w:type="dxa" w:w="2160"/>
          </w:tcPr>
          <w:p>
            <w:r>
              <w:t>-9.6%</w:t>
            </w:r>
          </w:p>
        </w:tc>
        <w:tc>
          <w:tcPr>
            <w:tcW w:type="dxa" w:w="2160"/>
          </w:tcPr>
          <w:p>
            <w:r>
              <w:t>92%</w:t>
            </w:r>
          </w:p>
        </w:tc>
      </w:tr>
    </w:tbl>
    <w:p/>
    <w:p>
      <w:pPr>
        <w:pStyle w:val="Heading1"/>
      </w:pPr>
      <w:r>
        <w:t>四、权益曲线（摘要）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周次</w:t>
            </w:r>
          </w:p>
        </w:tc>
        <w:tc>
          <w:tcPr>
            <w:tcW w:type="dxa" w:w="2160"/>
          </w:tcPr>
          <w:p>
            <w:r>
              <w:t>权益</w:t>
            </w:r>
          </w:p>
        </w:tc>
        <w:tc>
          <w:tcPr>
            <w:tcW w:type="dxa" w:w="2160"/>
          </w:tcPr>
          <w:p>
            <w:r>
              <w:t>持仓数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</w:tr>
      <w:tr>
        <w:tc>
          <w:tcPr>
            <w:tcW w:type="dxa" w:w="2160"/>
          </w:tcPr>
          <w:p>
            <w:r>
              <w:t>2019-W02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2019-W15</w:t>
            </w:r>
          </w:p>
        </w:tc>
        <w:tc>
          <w:tcPr>
            <w:tcW w:type="dxa" w:w="2160"/>
          </w:tcPr>
          <w:p>
            <w:r>
              <w:t>1.2689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2019-W27</w:t>
            </w:r>
          </w:p>
        </w:tc>
        <w:tc>
          <w:tcPr>
            <w:tcW w:type="dxa" w:w="2160"/>
          </w:tcPr>
          <w:p>
            <w:r>
              <w:t>1.3490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2019-W39</w:t>
            </w:r>
          </w:p>
        </w:tc>
        <w:tc>
          <w:tcPr>
            <w:tcW w:type="dxa" w:w="2160"/>
          </w:tcPr>
          <w:p>
            <w:r>
              <w:t>1.3174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2019-W51</w:t>
            </w:r>
          </w:p>
        </w:tc>
        <w:tc>
          <w:tcPr>
            <w:tcW w:type="dxa" w:w="2160"/>
          </w:tcPr>
          <w:p>
            <w:r>
              <w:t>1.3676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2020-W12</w:t>
            </w:r>
          </w:p>
        </w:tc>
        <w:tc>
          <w:tcPr>
            <w:tcW w:type="dxa" w:w="2160"/>
          </w:tcPr>
          <w:p>
            <w:r>
              <w:t>1.2498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2020-W24</w:t>
            </w:r>
          </w:p>
        </w:tc>
        <w:tc>
          <w:tcPr>
            <w:tcW w:type="dxa" w:w="2160"/>
          </w:tcPr>
          <w:p>
            <w:r>
              <w:t>1.3618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2020-W36</w:t>
            </w:r>
          </w:p>
        </w:tc>
        <w:tc>
          <w:tcPr>
            <w:tcW w:type="dxa" w:w="2160"/>
          </w:tcPr>
          <w:p>
            <w:r>
              <w:t>1.5140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2020-W48</w:t>
            </w:r>
          </w:p>
        </w:tc>
        <w:tc>
          <w:tcPr>
            <w:tcW w:type="dxa" w:w="2160"/>
          </w:tcPr>
          <w:p>
            <w:r>
              <w:t>1.6364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2021-W07</w:t>
            </w:r>
          </w:p>
        </w:tc>
        <w:tc>
          <w:tcPr>
            <w:tcW w:type="dxa" w:w="2160"/>
          </w:tcPr>
          <w:p>
            <w:r>
              <w:t>1.8381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2021-W19</w:t>
            </w:r>
          </w:p>
        </w:tc>
        <w:tc>
          <w:tcPr>
            <w:tcW w:type="dxa" w:w="2160"/>
          </w:tcPr>
          <w:p>
            <w:r>
              <w:t>2.0516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2021-W31</w:t>
            </w:r>
          </w:p>
        </w:tc>
        <w:tc>
          <w:tcPr>
            <w:tcW w:type="dxa" w:w="2160"/>
          </w:tcPr>
          <w:p>
            <w:r>
              <w:t>2.2392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2021-W43</w:t>
            </w:r>
          </w:p>
        </w:tc>
        <w:tc>
          <w:tcPr>
            <w:tcW w:type="dxa" w:w="2160"/>
          </w:tcPr>
          <w:p>
            <w:r>
              <w:t>2.5458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2022-W03</w:t>
            </w:r>
          </w:p>
        </w:tc>
        <w:tc>
          <w:tcPr>
            <w:tcW w:type="dxa" w:w="2160"/>
          </w:tcPr>
          <w:p>
            <w:r>
              <w:t>2.4319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2022-W16</w:t>
            </w:r>
          </w:p>
        </w:tc>
        <w:tc>
          <w:tcPr>
            <w:tcW w:type="dxa" w:w="2160"/>
          </w:tcPr>
          <w:p>
            <w:r>
              <w:t>2.8511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2022-W28</w:t>
            </w:r>
          </w:p>
        </w:tc>
        <w:tc>
          <w:tcPr>
            <w:tcW w:type="dxa" w:w="2160"/>
          </w:tcPr>
          <w:p>
            <w:r>
              <w:t>2.6729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2022-W41</w:t>
            </w:r>
          </w:p>
        </w:tc>
        <w:tc>
          <w:tcPr>
            <w:tcW w:type="dxa" w:w="2160"/>
          </w:tcPr>
          <w:p>
            <w:r>
              <w:t>2.6361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2023-W01</w:t>
            </w:r>
          </w:p>
        </w:tc>
        <w:tc>
          <w:tcPr>
            <w:tcW w:type="dxa" w:w="2160"/>
          </w:tcPr>
          <w:p>
            <w:r>
              <w:t>2.8703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2023-W14</w:t>
            </w:r>
          </w:p>
        </w:tc>
        <w:tc>
          <w:tcPr>
            <w:tcW w:type="dxa" w:w="2160"/>
          </w:tcPr>
          <w:p>
            <w:r>
              <w:t>3.0765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2023-W26</w:t>
            </w:r>
          </w:p>
        </w:tc>
        <w:tc>
          <w:tcPr>
            <w:tcW w:type="dxa" w:w="2160"/>
          </w:tcPr>
          <w:p>
            <w:r>
              <w:t>3.2000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2023-W38</w:t>
            </w:r>
          </w:p>
        </w:tc>
        <w:tc>
          <w:tcPr>
            <w:tcW w:type="dxa" w:w="2160"/>
          </w:tcPr>
          <w:p>
            <w:r>
              <w:t>3.1452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2023-W51</w:t>
            </w:r>
          </w:p>
        </w:tc>
        <w:tc>
          <w:tcPr>
            <w:tcW w:type="dxa" w:w="2160"/>
          </w:tcPr>
          <w:p>
            <w:r>
              <w:t>2.9675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2024-W12</w:t>
            </w:r>
          </w:p>
        </w:tc>
        <w:tc>
          <w:tcPr>
            <w:tcW w:type="dxa" w:w="2160"/>
          </w:tcPr>
          <w:p>
            <w:r>
              <w:t>3.0691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2024-W24</w:t>
            </w:r>
          </w:p>
        </w:tc>
        <w:tc>
          <w:tcPr>
            <w:tcW w:type="dxa" w:w="2160"/>
          </w:tcPr>
          <w:p>
            <w:r>
              <w:t>3.1611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2024-W36</w:t>
            </w:r>
          </w:p>
        </w:tc>
        <w:tc>
          <w:tcPr>
            <w:tcW w:type="dxa" w:w="2160"/>
          </w:tcPr>
          <w:p>
            <w:r>
              <w:t>3.2568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2024-W48</w:t>
            </w:r>
          </w:p>
        </w:tc>
        <w:tc>
          <w:tcPr>
            <w:tcW w:type="dxa" w:w="2160"/>
          </w:tcPr>
          <w:p>
            <w:r>
              <w:t>3.4518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2025-W08</w:t>
            </w:r>
          </w:p>
        </w:tc>
        <w:tc>
          <w:tcPr>
            <w:tcW w:type="dxa" w:w="2160"/>
          </w:tcPr>
          <w:p>
            <w:r>
              <w:t>4.3350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2025-W20</w:t>
            </w:r>
          </w:p>
        </w:tc>
        <w:tc>
          <w:tcPr>
            <w:tcW w:type="dxa" w:w="2160"/>
          </w:tcPr>
          <w:p>
            <w:r>
              <w:t>4.4683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2025-W32</w:t>
            </w:r>
          </w:p>
        </w:tc>
        <w:tc>
          <w:tcPr>
            <w:tcW w:type="dxa" w:w="2160"/>
          </w:tcPr>
          <w:p>
            <w:r>
              <w:t>5.3896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2025-W44</w:t>
            </w:r>
          </w:p>
        </w:tc>
        <w:tc>
          <w:tcPr>
            <w:tcW w:type="dxa" w:w="2160"/>
          </w:tcPr>
          <w:p>
            <w:r>
              <w:t>6.8060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2026-W04</w:t>
            </w:r>
          </w:p>
        </w:tc>
        <w:tc>
          <w:tcPr>
            <w:tcW w:type="dxa" w:w="2160"/>
          </w:tcPr>
          <w:p>
            <w:r>
              <w:t>8.1562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2026-W17</w:t>
            </w:r>
          </w:p>
        </w:tc>
        <w:tc>
          <w:tcPr>
            <w:tcW w:type="dxa" w:w="2160"/>
          </w:tcPr>
          <w:p>
            <w:r>
              <w:t>7.7420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2026-W18</w:t>
            </w:r>
          </w:p>
        </w:tc>
        <w:tc>
          <w:tcPr>
            <w:tcW w:type="dxa" w:w="2160"/>
          </w:tcPr>
          <w:p>
            <w:r>
              <w:t>8.0958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