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周线动量策略 回测报告 (v4.2)</w:t>
      </w:r>
    </w:p>
    <w:p>
      <w:r>
        <w:t>策略参数：MA5/21 LB5 D10 H3</w:t>
      </w:r>
    </w:p>
    <w:p>
      <w:r>
        <w:t>生成时间：2026-06-07 00:12:30</w:t>
      </w:r>
    </w:p>
    <w:p/>
    <w:p>
      <w:pPr>
        <w:pStyle w:val="Heading1"/>
      </w:pPr>
      <w:r>
        <w:t>一、回测参数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参数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t>max_dev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top_n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lb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ma_s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ma_l</w:t>
            </w:r>
          </w:p>
        </w:tc>
        <w:tc>
          <w:tcPr>
            <w:tcW w:type="dxa" w:w="4320"/>
          </w:tcPr>
          <w:p>
            <w:r>
              <w:t>21</w:t>
            </w:r>
          </w:p>
        </w:tc>
      </w:tr>
      <w:tr>
        <w:tc>
          <w:tcPr>
            <w:tcW w:type="dxa" w:w="4320"/>
          </w:tcPr>
          <w:p>
            <w:r>
              <w:t>capital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start</w:t>
            </w:r>
          </w:p>
        </w:tc>
        <w:tc>
          <w:tcPr>
            <w:tcW w:type="dxa" w:w="4320"/>
          </w:tcPr>
          <w:p>
            <w:r>
              <w:t>2025-W01</w:t>
            </w:r>
          </w:p>
        </w:tc>
      </w:tr>
      <w:tr>
        <w:tc>
          <w:tcPr>
            <w:tcW w:type="dxa" w:w="4320"/>
          </w:tcPr>
          <w:p>
            <w:r>
              <w:t>end</w:t>
            </w:r>
          </w:p>
        </w:tc>
        <w:tc>
          <w:tcPr>
            <w:tcW w:type="dxa" w:w="4320"/>
          </w:tcPr>
          <w:p>
            <w:r>
              <w:t>2025-W52</w:t>
            </w:r>
          </w:p>
        </w:tc>
      </w:tr>
      <w:tr>
        <w:tc>
          <w:tcPr>
            <w:tcW w:type="dxa" w:w="4320"/>
          </w:tcPr>
          <w:p>
            <w:r>
              <w:t>hs300_threshold</w:t>
            </w:r>
          </w:p>
        </w:tc>
        <w:tc>
          <w:tcPr>
            <w:tcW w:type="dxa" w:w="4320"/>
          </w:tcPr>
          <w:p>
            <w:r>
              <w:t>-5.0</w:t>
            </w:r>
          </w:p>
        </w:tc>
      </w:tr>
    </w:tbl>
    <w:p/>
    <w:p>
      <w:pPr>
        <w:pStyle w:val="Heading1"/>
      </w:pPr>
      <w:r>
        <w:t>二、回测结果</w:t>
      </w:r>
    </w:p>
    <w:p>
      <w:r>
        <w:t>回测区间：2025-W01 ~ 2025-W52（51周，1.0年）</w:t>
      </w:r>
    </w:p>
    <w:p>
      <w:r>
        <w:rPr>
          <w:b/>
        </w:rPr>
        <w:t>总收益率：+24.1%</w:t>
      </w:r>
    </w:p>
    <w:p>
      <w:r>
        <w:rPr>
          <w:b/>
        </w:rPr>
        <w:t>年化收益率：+24.6%</w:t>
      </w:r>
    </w:p>
    <w:p>
      <w:r>
        <w:rPr>
          <w:b/>
        </w:rPr>
        <w:t>最大回撤：-1408.6%</w:t>
      </w:r>
    </w:p>
    <w:p>
      <w:r>
        <w:rPr>
          <w:b/>
        </w:rPr>
        <w:t>夏普比率：1.05</w:t>
      </w:r>
    </w:p>
    <w:p>
      <w:r>
        <w:rPr>
          <w:b/>
        </w:rPr>
        <w:t>Calmar比率：1.75</w:t>
      </w:r>
    </w:p>
    <w:p>
      <w:r>
        <w:t>周胜率：64.0%</w:t>
      </w:r>
    </w:p>
    <w:p>
      <w:r>
        <w:t>交易次数：122次买入 / 119次卖出</w:t>
      </w:r>
    </w:p>
    <w:p/>
    <w:p>
      <w:pPr>
        <w:pStyle w:val="Heading1"/>
      </w:pPr>
      <w:r>
        <w:t>三、逐年表现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年份</w:t>
            </w:r>
          </w:p>
        </w:tc>
        <w:tc>
          <w:tcPr>
            <w:tcW w:type="dxa" w:w="2160"/>
          </w:tcPr>
          <w:p>
            <w:r>
              <w:t>收益率</w:t>
            </w:r>
          </w:p>
        </w:tc>
        <w:tc>
          <w:tcPr>
            <w:tcW w:type="dxa" w:w="2160"/>
          </w:tcPr>
          <w:p>
            <w:r>
              <w:t>最大回撤</w:t>
            </w:r>
          </w:p>
        </w:tc>
        <w:tc>
          <w:tcPr>
            <w:tcW w:type="dxa" w:w="2160"/>
          </w:tcPr>
          <w:p>
            <w:r>
              <w:t>平均持仓占比</w:t>
            </w:r>
          </w:p>
        </w:tc>
      </w:tr>
      <w:tr>
        <w:tc>
          <w:tcPr>
            <w:tcW w:type="dxa" w:w="2160"/>
          </w:tcPr>
          <w:p>
            <w:r>
              <w:t>2025</w:t>
            </w:r>
          </w:p>
        </w:tc>
        <w:tc>
          <w:tcPr>
            <w:tcW w:type="dxa" w:w="2160"/>
          </w:tcPr>
          <w:p>
            <w:r>
              <w:t>+24.1%</w:t>
            </w:r>
          </w:p>
        </w:tc>
        <w:tc>
          <w:tcPr>
            <w:tcW w:type="dxa" w:w="2160"/>
          </w:tcPr>
          <w:p>
            <w:r>
              <w:t>-14.1%</w:t>
            </w:r>
          </w:p>
        </w:tc>
        <w:tc>
          <w:tcPr>
            <w:tcW w:type="dxa" w:w="2160"/>
          </w:tcPr>
          <w:p>
            <w:r>
              <w:t>95%</w:t>
            </w:r>
          </w:p>
        </w:tc>
      </w:tr>
    </w:tbl>
    <w:p/>
    <w:p>
      <w:pPr>
        <w:pStyle w:val="Heading1"/>
      </w:pPr>
      <w:r>
        <w:t>四、权益曲线（摘要）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周次</w:t>
            </w:r>
          </w:p>
        </w:tc>
        <w:tc>
          <w:tcPr>
            <w:tcW w:type="dxa" w:w="2160"/>
          </w:tcPr>
          <w:p>
            <w:r>
              <w:t>权益</w:t>
            </w:r>
          </w:p>
        </w:tc>
        <w:tc>
          <w:tcPr>
            <w:tcW w:type="dxa" w:w="2160"/>
          </w:tcPr>
          <w:p>
            <w:r>
              <w:t>持仓数</w:t>
            </w:r>
          </w:p>
        </w:tc>
        <w:tc>
          <w:tcPr>
            <w:tcW w:type="dxa" w:w="2160"/>
          </w:tcPr>
          <w:p>
            <w:r>
              <w:t>占比</w:t>
            </w:r>
          </w:p>
        </w:tc>
      </w:tr>
      <w:tr>
        <w:tc>
          <w:tcPr>
            <w:tcW w:type="dxa" w:w="2160"/>
          </w:tcPr>
          <w:p>
            <w:r>
              <w:t>2025-W02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2025-W03</w:t>
            </w:r>
          </w:p>
        </w:tc>
        <w:tc>
          <w:tcPr>
            <w:tcW w:type="dxa" w:w="2160"/>
          </w:tcPr>
          <w:p>
            <w:r>
              <w:t>1.0239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2025-W04</w:t>
            </w:r>
          </w:p>
        </w:tc>
        <w:tc>
          <w:tcPr>
            <w:tcW w:type="dxa" w:w="2160"/>
          </w:tcPr>
          <w:p>
            <w:r>
              <w:t>1.0239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2025-W05</w:t>
            </w:r>
          </w:p>
        </w:tc>
        <w:tc>
          <w:tcPr>
            <w:tcW w:type="dxa" w:w="2160"/>
          </w:tcPr>
          <w:p>
            <w:r>
              <w:t>1.0147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2025-W06</w:t>
            </w:r>
          </w:p>
        </w:tc>
        <w:tc>
          <w:tcPr>
            <w:tcW w:type="dxa" w:w="2160"/>
          </w:tcPr>
          <w:p>
            <w:r>
              <w:t>1.0485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2025-W07</w:t>
            </w:r>
          </w:p>
        </w:tc>
        <w:tc>
          <w:tcPr>
            <w:tcW w:type="dxa" w:w="2160"/>
          </w:tcPr>
          <w:p>
            <w:r>
              <w:t>1.0549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2025-W08</w:t>
            </w:r>
          </w:p>
        </w:tc>
        <w:tc>
          <w:tcPr>
            <w:tcW w:type="dxa" w:w="2160"/>
          </w:tcPr>
          <w:p>
            <w:r>
              <w:t>1.0776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2025-W09</w:t>
            </w:r>
          </w:p>
        </w:tc>
        <w:tc>
          <w:tcPr>
            <w:tcW w:type="dxa" w:w="2160"/>
          </w:tcPr>
          <w:p>
            <w:r>
              <w:t>1.0309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2025-W10</w:t>
            </w:r>
          </w:p>
        </w:tc>
        <w:tc>
          <w:tcPr>
            <w:tcW w:type="dxa" w:w="2160"/>
          </w:tcPr>
          <w:p>
            <w:r>
              <w:t>1.0470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2025-W11</w:t>
            </w:r>
          </w:p>
        </w:tc>
        <w:tc>
          <w:tcPr>
            <w:tcW w:type="dxa" w:w="2160"/>
          </w:tcPr>
          <w:p>
            <w:r>
              <w:t>1.0512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2025-W12</w:t>
            </w:r>
          </w:p>
        </w:tc>
        <w:tc>
          <w:tcPr>
            <w:tcW w:type="dxa" w:w="2160"/>
          </w:tcPr>
          <w:p>
            <w:r>
              <w:t>1.0295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2025-W13</w:t>
            </w:r>
          </w:p>
        </w:tc>
        <w:tc>
          <w:tcPr>
            <w:tcW w:type="dxa" w:w="2160"/>
          </w:tcPr>
          <w:p>
            <w:r>
              <w:t>1.0064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2025-W14</w:t>
            </w:r>
          </w:p>
        </w:tc>
        <w:tc>
          <w:tcPr>
            <w:tcW w:type="dxa" w:w="2160"/>
          </w:tcPr>
          <w:p>
            <w:r>
              <w:t>1.0389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2025-W15</w:t>
            </w:r>
          </w:p>
        </w:tc>
        <w:tc>
          <w:tcPr>
            <w:tcW w:type="dxa" w:w="2160"/>
          </w:tcPr>
          <w:p>
            <w:r>
              <w:t>0.9747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2025-W16</w:t>
            </w:r>
          </w:p>
        </w:tc>
        <w:tc>
          <w:tcPr>
            <w:tcW w:type="dxa" w:w="2160"/>
          </w:tcPr>
          <w:p>
            <w:r>
              <w:t>1.0127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2025-W17</w:t>
            </w:r>
          </w:p>
        </w:tc>
        <w:tc>
          <w:tcPr>
            <w:tcW w:type="dxa" w:w="2160"/>
          </w:tcPr>
          <w:p>
            <w:r>
              <w:t>1.0131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2025-W18</w:t>
            </w:r>
          </w:p>
        </w:tc>
        <w:tc>
          <w:tcPr>
            <w:tcW w:type="dxa" w:w="2160"/>
          </w:tcPr>
          <w:p>
            <w:r>
              <w:t>1.0131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2025-W19</w:t>
            </w:r>
          </w:p>
        </w:tc>
        <w:tc>
          <w:tcPr>
            <w:tcW w:type="dxa" w:w="2160"/>
          </w:tcPr>
          <w:p>
            <w:r>
              <w:t>1.0250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67%</w:t>
            </w:r>
          </w:p>
        </w:tc>
      </w:tr>
      <w:tr>
        <w:tc>
          <w:tcPr>
            <w:tcW w:type="dxa" w:w="2160"/>
          </w:tcPr>
          <w:p>
            <w:r>
              <w:t>2025-W20</w:t>
            </w:r>
          </w:p>
        </w:tc>
        <w:tc>
          <w:tcPr>
            <w:tcW w:type="dxa" w:w="2160"/>
          </w:tcPr>
          <w:p>
            <w:r>
              <w:t>1.0195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2025-W21</w:t>
            </w:r>
          </w:p>
        </w:tc>
        <w:tc>
          <w:tcPr>
            <w:tcW w:type="dxa" w:w="2160"/>
          </w:tcPr>
          <w:p>
            <w:r>
              <w:t>1.0246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2025-W22</w:t>
            </w:r>
          </w:p>
        </w:tc>
        <w:tc>
          <w:tcPr>
            <w:tcW w:type="dxa" w:w="2160"/>
          </w:tcPr>
          <w:p>
            <w:r>
              <w:t>1.0037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2025-W23</w:t>
            </w:r>
          </w:p>
        </w:tc>
        <w:tc>
          <w:tcPr>
            <w:tcW w:type="dxa" w:w="2160"/>
          </w:tcPr>
          <w:p>
            <w:r>
              <w:t>1.0152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2025-W24</w:t>
            </w:r>
          </w:p>
        </w:tc>
        <w:tc>
          <w:tcPr>
            <w:tcW w:type="dxa" w:w="2160"/>
          </w:tcPr>
          <w:p>
            <w:r>
              <w:t>1.0139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2025-W25</w:t>
            </w:r>
          </w:p>
        </w:tc>
        <w:tc>
          <w:tcPr>
            <w:tcW w:type="dxa" w:w="2160"/>
          </w:tcPr>
          <w:p>
            <w:r>
              <w:t>0.9951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2025-W26</w:t>
            </w:r>
          </w:p>
        </w:tc>
        <w:tc>
          <w:tcPr>
            <w:tcW w:type="dxa" w:w="2160"/>
          </w:tcPr>
          <w:p>
            <w:r>
              <w:t>1.0083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2025-W27</w:t>
            </w:r>
          </w:p>
        </w:tc>
        <w:tc>
          <w:tcPr>
            <w:tcW w:type="dxa" w:w="2160"/>
          </w:tcPr>
          <w:p>
            <w:r>
              <w:t>1.0154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2025-W28</w:t>
            </w:r>
          </w:p>
        </w:tc>
        <w:tc>
          <w:tcPr>
            <w:tcW w:type="dxa" w:w="2160"/>
          </w:tcPr>
          <w:p>
            <w:r>
              <w:t>1.0548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2025-W29</w:t>
            </w:r>
          </w:p>
        </w:tc>
        <w:tc>
          <w:tcPr>
            <w:tcW w:type="dxa" w:w="2160"/>
          </w:tcPr>
          <w:p>
            <w:r>
              <w:t>1.0888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2025-W30</w:t>
            </w:r>
          </w:p>
        </w:tc>
        <w:tc>
          <w:tcPr>
            <w:tcW w:type="dxa" w:w="2160"/>
          </w:tcPr>
          <w:p>
            <w:r>
              <w:t>0.9487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2025-W31</w:t>
            </w:r>
          </w:p>
        </w:tc>
        <w:tc>
          <w:tcPr>
            <w:tcW w:type="dxa" w:w="2160"/>
          </w:tcPr>
          <w:p>
            <w:r>
              <w:t>0.9354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2025-W32</w:t>
            </w:r>
          </w:p>
        </w:tc>
        <w:tc>
          <w:tcPr>
            <w:tcW w:type="dxa" w:w="2160"/>
          </w:tcPr>
          <w:p>
            <w:r>
              <w:t>0.9572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2025-W33</w:t>
            </w:r>
          </w:p>
        </w:tc>
        <w:tc>
          <w:tcPr>
            <w:tcW w:type="dxa" w:w="2160"/>
          </w:tcPr>
          <w:p>
            <w:r>
              <w:t>1.0112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2025-W34</w:t>
            </w:r>
          </w:p>
        </w:tc>
        <w:tc>
          <w:tcPr>
            <w:tcW w:type="dxa" w:w="2160"/>
          </w:tcPr>
          <w:p>
            <w:r>
              <w:t>1.0404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2025-W35</w:t>
            </w:r>
          </w:p>
        </w:tc>
        <w:tc>
          <w:tcPr>
            <w:tcW w:type="dxa" w:w="2160"/>
          </w:tcPr>
          <w:p>
            <w:r>
              <w:t>1.0889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2025-W36</w:t>
            </w:r>
          </w:p>
        </w:tc>
        <w:tc>
          <w:tcPr>
            <w:tcW w:type="dxa" w:w="2160"/>
          </w:tcPr>
          <w:p>
            <w:r>
              <w:t>1.0744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2025-W37</w:t>
            </w:r>
          </w:p>
        </w:tc>
        <w:tc>
          <w:tcPr>
            <w:tcW w:type="dxa" w:w="2160"/>
          </w:tcPr>
          <w:p>
            <w:r>
              <w:t>1.1070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2025-W38</w:t>
            </w:r>
          </w:p>
        </w:tc>
        <w:tc>
          <w:tcPr>
            <w:tcW w:type="dxa" w:w="2160"/>
          </w:tcPr>
          <w:p>
            <w:r>
              <w:t>1.1313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2025-W39</w:t>
            </w:r>
          </w:p>
        </w:tc>
        <w:tc>
          <w:tcPr>
            <w:tcW w:type="dxa" w:w="2160"/>
          </w:tcPr>
          <w:p>
            <w:r>
              <w:t>1.1646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2025-W40</w:t>
            </w:r>
          </w:p>
        </w:tc>
        <w:tc>
          <w:tcPr>
            <w:tcW w:type="dxa" w:w="2160"/>
          </w:tcPr>
          <w:p>
            <w:r>
              <w:t>1.2012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2025-W41</w:t>
            </w:r>
          </w:p>
        </w:tc>
        <w:tc>
          <w:tcPr>
            <w:tcW w:type="dxa" w:w="2160"/>
          </w:tcPr>
          <w:p>
            <w:r>
              <w:t>1.2281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2025-W42</w:t>
            </w:r>
          </w:p>
        </w:tc>
        <w:tc>
          <w:tcPr>
            <w:tcW w:type="dxa" w:w="2160"/>
          </w:tcPr>
          <w:p>
            <w:r>
              <w:t>1.2355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2025-W43</w:t>
            </w:r>
          </w:p>
        </w:tc>
        <w:tc>
          <w:tcPr>
            <w:tcW w:type="dxa" w:w="2160"/>
          </w:tcPr>
          <w:p>
            <w:r>
              <w:t>1.2383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2025-W44</w:t>
            </w:r>
          </w:p>
        </w:tc>
        <w:tc>
          <w:tcPr>
            <w:tcW w:type="dxa" w:w="2160"/>
          </w:tcPr>
          <w:p>
            <w:r>
              <w:t>1.2465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2025-W45</w:t>
            </w:r>
          </w:p>
        </w:tc>
        <w:tc>
          <w:tcPr>
            <w:tcW w:type="dxa" w:w="2160"/>
          </w:tcPr>
          <w:p>
            <w:r>
              <w:t>1.2489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2025-W46</w:t>
            </w:r>
          </w:p>
        </w:tc>
        <w:tc>
          <w:tcPr>
            <w:tcW w:type="dxa" w:w="2160"/>
          </w:tcPr>
          <w:p>
            <w:r>
              <w:t>1.2298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2025-W47</w:t>
            </w:r>
          </w:p>
        </w:tc>
        <w:tc>
          <w:tcPr>
            <w:tcW w:type="dxa" w:w="2160"/>
          </w:tcPr>
          <w:p>
            <w:r>
              <w:t>1.1926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2025-W48</w:t>
            </w:r>
          </w:p>
        </w:tc>
        <w:tc>
          <w:tcPr>
            <w:tcW w:type="dxa" w:w="2160"/>
          </w:tcPr>
          <w:p>
            <w:r>
              <w:t>1.2311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67%</w:t>
            </w:r>
          </w:p>
        </w:tc>
      </w:tr>
      <w:tr>
        <w:tc>
          <w:tcPr>
            <w:tcW w:type="dxa" w:w="2160"/>
          </w:tcPr>
          <w:p>
            <w:r>
              <w:t>2025-W49</w:t>
            </w:r>
          </w:p>
        </w:tc>
        <w:tc>
          <w:tcPr>
            <w:tcW w:type="dxa" w:w="2160"/>
          </w:tcPr>
          <w:p>
            <w:r>
              <w:t>1.2373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2025-W50</w:t>
            </w:r>
          </w:p>
        </w:tc>
        <w:tc>
          <w:tcPr>
            <w:tcW w:type="dxa" w:w="2160"/>
          </w:tcPr>
          <w:p>
            <w:r>
              <w:t>1.2315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2025-W51</w:t>
            </w:r>
          </w:p>
        </w:tc>
        <w:tc>
          <w:tcPr>
            <w:tcW w:type="dxa" w:w="2160"/>
          </w:tcPr>
          <w:p>
            <w:r>
              <w:t>1.2139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2025-W52</w:t>
            </w:r>
          </w:p>
        </w:tc>
        <w:tc>
          <w:tcPr>
            <w:tcW w:type="dxa" w:w="2160"/>
          </w:tcPr>
          <w:p>
            <w:r>
              <w:t>1.2408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