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00:13:07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总收益率：+336.6%</w:t>
      </w:r>
    </w:p>
    <w:p>
      <w:r>
        <w:rPr>
          <w:b/>
        </w:rPr>
        <w:t>年化收益率：+10.3%</w:t>
      </w:r>
    </w:p>
    <w:p>
      <w:r>
        <w:rPr>
          <w:b/>
        </w:rPr>
        <w:t>最大回撤：-999.3%</w:t>
      </w:r>
    </w:p>
    <w:p>
      <w:r>
        <w:rPr>
          <w:b/>
        </w:rPr>
        <w:t>夏普比率：0.58</w:t>
      </w:r>
    </w:p>
    <w:p>
      <w:r>
        <w:rPr>
          <w:b/>
        </w:rPr>
        <w:t>Calmar比率：0.42</w:t>
      </w:r>
    </w:p>
    <w:p>
      <w:r>
        <w:t>周胜率：37.6%</w:t>
      </w:r>
    </w:p>
    <w:p>
      <w:r>
        <w:t>交易次数：959次买入 / 956次卖出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+33.4%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+9.0%</w:t>
            </w:r>
          </w:p>
        </w:tc>
        <w:tc>
          <w:tcPr>
            <w:tcW w:type="dxa" w:w="2160"/>
          </w:tcPr>
          <w:p>
            <w:r>
              <w:t>-13.8%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+48.3%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-22.6%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-5.4%</w:t>
            </w:r>
          </w:p>
        </w:tc>
        <w:tc>
          <w:tcPr>
            <w:tcW w:type="dxa" w:w="2160"/>
          </w:tcPr>
          <w:p>
            <w:r>
              <w:t>-22.7%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+17.0%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+21.8%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69%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+6.6%</w:t>
            </w:r>
          </w:p>
        </w:tc>
        <w:tc>
          <w:tcPr>
            <w:tcW w:type="dxa" w:w="2160"/>
          </w:tcPr>
          <w:p>
            <w:r>
              <w:t>-10.0%</w:t>
            </w:r>
          </w:p>
        </w:tc>
        <w:tc>
          <w:tcPr>
            <w:tcW w:type="dxa" w:w="2160"/>
          </w:tcPr>
          <w:p>
            <w:r>
              <w:t>76%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1.2531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1.5078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1.5748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1.7585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1.8791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2.4372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3.3462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2.7967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3.2178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3.7804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3.0447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3.1716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3.1863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3.8765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4.1832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4.3665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