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00:13:19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总收益率：+399.3%</w:t>
      </w:r>
    </w:p>
    <w:p>
      <w:r>
        <w:rPr>
          <w:b/>
        </w:rPr>
        <w:t>年化收益率：+11.2%</w:t>
      </w:r>
    </w:p>
    <w:p>
      <w:r>
        <w:rPr>
          <w:b/>
        </w:rPr>
        <w:t>最大回撤：-649.0%</w:t>
      </w:r>
    </w:p>
    <w:p>
      <w:r>
        <w:rPr>
          <w:b/>
        </w:rPr>
        <w:t>夏普比率：0.62</w:t>
      </w:r>
    </w:p>
    <w:p>
      <w:r>
        <w:rPr>
          <w:b/>
        </w:rPr>
        <w:t>Calmar比率：0.47</w:t>
      </w:r>
    </w:p>
    <w:p>
      <w:r>
        <w:t>周胜率：39.7%</w:t>
      </w:r>
    </w:p>
    <w:p>
      <w:r>
        <w:t>交易次数：1031次买入 / 1028次卖出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-13.8%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-5.4%</w:t>
            </w:r>
          </w:p>
        </w:tc>
        <w:tc>
          <w:tcPr>
            <w:tcW w:type="dxa" w:w="2160"/>
          </w:tcPr>
          <w:p>
            <w:r>
              <w:t>-22.7%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+15.3%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+30.9%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+19.4%</w:t>
            </w:r>
          </w:p>
        </w:tc>
        <w:tc>
          <w:tcPr>
            <w:tcW w:type="dxa" w:w="2160"/>
          </w:tcPr>
          <w:p>
            <w:r>
              <w:t>-6.5%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1.2531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1.5078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1.5748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1.7585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1.8791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2.4372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3.3462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2.7967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3.2178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3.7804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3.0447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3.0803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3.4802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3.9837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4.4999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4.9926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