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00:23:31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总收益率：+325.9%</w:t>
      </w:r>
    </w:p>
    <w:p>
      <w:r>
        <w:rPr>
          <w:b/>
        </w:rPr>
        <w:t>年化收益率：+22.3%</w:t>
      </w:r>
    </w:p>
    <w:p>
      <w:r>
        <w:rPr>
          <w:b/>
        </w:rPr>
        <w:t>最大回撤：-649.0%</w:t>
      </w:r>
    </w:p>
    <w:p>
      <w:r>
        <w:rPr>
          <w:b/>
        </w:rPr>
        <w:t>夏普比率：1.02</w:t>
      </w:r>
    </w:p>
    <w:p>
      <w:r>
        <w:rPr>
          <w:b/>
        </w:rPr>
        <w:t>Calmar比率：0.92</w:t>
      </w:r>
    </w:p>
    <w:p>
      <w:r>
        <w:t>周胜率：56.8%</w:t>
      </w:r>
    </w:p>
    <w:p>
      <w:r>
        <w:t>交易次数：803次买入 / 800次卖出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+15.3%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+30.9%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1.3035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1.2358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1.2915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1.4591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1.6574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1.8279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2.3902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2.4156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2.6678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2.4279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2.6521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2.9433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3.0736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2.5251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2.6920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2.7389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2.5229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2.8278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3.1784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2.9745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2.7929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3.6369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4.0364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4.0715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4.2586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