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周线动量策略 回测报告 (v4.2)</w:t>
      </w:r>
    </w:p>
    <w:p>
      <w:r>
        <w:t>策略参数：MA5/21 LB5 D10.0 H3</w:t>
      </w:r>
    </w:p>
    <w:p>
      <w:r>
        <w:t>生成时间：2026-06-07 23:13:26</w:t>
      </w:r>
    </w:p>
    <w:p/>
    <w:p>
      <w:pPr>
        <w:pStyle w:val="Heading1"/>
      </w:pPr>
      <w:r>
        <w:t>一、回测参数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max_dev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top_n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lb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ma_s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ma_l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capital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start</w:t>
            </w:r>
          </w:p>
        </w:tc>
        <w:tc>
          <w:tcPr>
            <w:tcW w:type="dxa" w:w="4320"/>
          </w:tcPr>
          <w:p>
            <w:r>
              <w:t>2010-W01</w:t>
            </w:r>
          </w:p>
        </w:tc>
      </w:tr>
      <w:tr>
        <w:tc>
          <w:tcPr>
            <w:tcW w:type="dxa" w:w="4320"/>
          </w:tcPr>
          <w:p>
            <w:r>
              <w:t>end</w:t>
            </w:r>
          </w:p>
        </w:tc>
        <w:tc>
          <w:tcPr>
            <w:tcW w:type="dxa" w:w="4320"/>
          </w:tcPr>
          <w:p>
            <w:r>
              <w:t>2018-W52</w:t>
            </w:r>
          </w:p>
        </w:tc>
      </w:tr>
      <w:tr>
        <w:tc>
          <w:tcPr>
            <w:tcW w:type="dxa" w:w="4320"/>
          </w:tcPr>
          <w:p>
            <w:r>
              <w:t>hs300_threshold</w:t>
            </w:r>
          </w:p>
        </w:tc>
        <w:tc>
          <w:tcPr>
            <w:tcW w:type="dxa" w:w="4320"/>
          </w:tcPr>
          <w:p>
            <w:r>
              <w:t>-100.0</w:t>
            </w:r>
          </w:p>
        </w:tc>
      </w:tr>
      <w:tr>
        <w:tc>
          <w:tcPr>
            <w:tcW w:type="dxa" w:w="4320"/>
          </w:tcPr>
          <w:p>
            <w:r>
              <w:t>output</w:t>
            </w:r>
          </w:p>
        </w:tc>
        <w:tc>
          <w:tcPr>
            <w:tcW w:type="dxa" w:w="4320"/>
          </w:tcPr>
          <w:p>
            <w:r>
              <w:t>D:/QClaw_Trading/backtest_results/scan_5_21_5_10_3_2010W01_2018W52.json</w:t>
            </w:r>
          </w:p>
        </w:tc>
      </w:tr>
    </w:tbl>
    <w:p/>
    <w:p>
      <w:pPr>
        <w:pStyle w:val="Heading1"/>
      </w:pPr>
      <w:r>
        <w:t>二、回测结果</w:t>
      </w:r>
    </w:p>
    <w:p>
      <w:r>
        <w:t>回测区间：2010-W01 ~ 2018-W52（410周，7.9年）</w:t>
      </w:r>
    </w:p>
    <w:p>
      <w:r>
        <w:rPr>
          <w:b/>
        </w:rPr>
        <w:t>总收益率：+18.4%</w:t>
      </w:r>
    </w:p>
    <w:p>
      <w:r>
        <w:rPr>
          <w:b/>
        </w:rPr>
        <w:t>年化收益率：+2.2%</w:t>
      </w:r>
    </w:p>
    <w:p>
      <w:r>
        <w:rPr>
          <w:b/>
        </w:rPr>
        <w:t>最大回撤：-18.6%</w:t>
      </w:r>
    </w:p>
    <w:p>
      <w:r>
        <w:rPr>
          <w:b/>
        </w:rPr>
        <w:t>夏普比率：0.07</w:t>
      </w:r>
    </w:p>
    <w:p>
      <w:r>
        <w:rPr>
          <w:b/>
        </w:rPr>
        <w:t>Calmar比率：0.12</w:t>
      </w:r>
    </w:p>
    <w:p>
      <w:r>
        <w:t>周胜率：24.0%</w:t>
      </w:r>
    </w:p>
    <w:p>
      <w:r>
        <w:t>交易次数：231次买入 / 228次卖出</w:t>
      </w:r>
    </w:p>
    <w:p/>
    <w:p>
      <w:pPr>
        <w:pStyle w:val="Heading1"/>
      </w:pPr>
      <w:r>
        <w:t>三、逐年表现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年份</w:t>
            </w:r>
          </w:p>
        </w:tc>
        <w:tc>
          <w:tcPr>
            <w:tcW w:type="dxa" w:w="2160"/>
          </w:tcPr>
          <w:p>
            <w:r>
              <w:t>收益率</w:t>
            </w:r>
          </w:p>
        </w:tc>
        <w:tc>
          <w:tcPr>
            <w:tcW w:type="dxa" w:w="2160"/>
          </w:tcPr>
          <w:p>
            <w:r>
              <w:t>最大回撤</w:t>
            </w:r>
          </w:p>
        </w:tc>
        <w:tc>
          <w:tcPr>
            <w:tcW w:type="dxa" w:w="2160"/>
          </w:tcPr>
          <w:p>
            <w:r>
              <w:t>平均持仓占比</w:t>
            </w:r>
          </w:p>
        </w:tc>
      </w:tr>
      <w:tr>
        <w:tc>
          <w:tcPr>
            <w:tcW w:type="dxa" w:w="2160"/>
          </w:tcPr>
          <w:p>
            <w:r>
              <w:t>2010</w:t>
            </w:r>
          </w:p>
        </w:tc>
        <w:tc>
          <w:tcPr>
            <w:tcW w:type="dxa" w:w="2160"/>
          </w:tcPr>
          <w:p>
            <w:r>
              <w:t>+0.0%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</w:t>
            </w:r>
          </w:p>
        </w:tc>
        <w:tc>
          <w:tcPr>
            <w:tcW w:type="dxa" w:w="2160"/>
          </w:tcPr>
          <w:p>
            <w:r>
              <w:t>+0.0%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</w:t>
            </w:r>
          </w:p>
        </w:tc>
        <w:tc>
          <w:tcPr>
            <w:tcW w:type="dxa" w:w="2160"/>
          </w:tcPr>
          <w:p>
            <w:r>
              <w:t>-2.8%</w:t>
            </w:r>
          </w:p>
        </w:tc>
        <w:tc>
          <w:tcPr>
            <w:tcW w:type="dxa" w:w="2160"/>
          </w:tcPr>
          <w:p>
            <w:r>
              <w:t>-8.0%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2013</w:t>
            </w:r>
          </w:p>
        </w:tc>
        <w:tc>
          <w:tcPr>
            <w:tcW w:type="dxa" w:w="2160"/>
          </w:tcPr>
          <w:p>
            <w:r>
              <w:t>+4.4%</w:t>
            </w:r>
          </w:p>
        </w:tc>
        <w:tc>
          <w:tcPr>
            <w:tcW w:type="dxa" w:w="2160"/>
          </w:tcPr>
          <w:p>
            <w:r>
              <w:t>-3.7%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2014</w:t>
            </w:r>
          </w:p>
        </w:tc>
        <w:tc>
          <w:tcPr>
            <w:tcW w:type="dxa" w:w="2160"/>
          </w:tcPr>
          <w:p>
            <w:r>
              <w:t>-13.4%</w:t>
            </w:r>
          </w:p>
        </w:tc>
        <w:tc>
          <w:tcPr>
            <w:tcW w:type="dxa" w:w="2160"/>
          </w:tcPr>
          <w:p>
            <w:r>
              <w:t>-13.4%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2015</w:t>
            </w:r>
          </w:p>
        </w:tc>
        <w:tc>
          <w:tcPr>
            <w:tcW w:type="dxa" w:w="2160"/>
          </w:tcPr>
          <w:p>
            <w:r>
              <w:t>+0.2%</w:t>
            </w:r>
          </w:p>
        </w:tc>
        <w:tc>
          <w:tcPr>
            <w:tcW w:type="dxa" w:w="2160"/>
          </w:tcPr>
          <w:p>
            <w:r>
              <w:t>-3.6%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2016</w:t>
            </w:r>
          </w:p>
        </w:tc>
        <w:tc>
          <w:tcPr>
            <w:tcW w:type="dxa" w:w="2160"/>
          </w:tcPr>
          <w:p>
            <w:r>
              <w:t>+4.7%</w:t>
            </w:r>
          </w:p>
        </w:tc>
        <w:tc>
          <w:tcPr>
            <w:tcW w:type="dxa" w:w="2160"/>
          </w:tcPr>
          <w:p>
            <w:r>
              <w:t>-11.1%</w:t>
            </w:r>
          </w:p>
        </w:tc>
        <w:tc>
          <w:tcPr>
            <w:tcW w:type="dxa" w:w="2160"/>
          </w:tcPr>
          <w:p>
            <w:r>
              <w:t>54%</w:t>
            </w:r>
          </w:p>
        </w:tc>
      </w:tr>
      <w:tr>
        <w:tc>
          <w:tcPr>
            <w:tcW w:type="dxa" w:w="2160"/>
          </w:tcPr>
          <w:p>
            <w:r>
              <w:t>2017</w:t>
            </w:r>
          </w:p>
        </w:tc>
        <w:tc>
          <w:tcPr>
            <w:tcW w:type="dxa" w:w="2160"/>
          </w:tcPr>
          <w:p>
            <w:r>
              <w:t>+3.7%</w:t>
            </w:r>
          </w:p>
        </w:tc>
        <w:tc>
          <w:tcPr>
            <w:tcW w:type="dxa" w:w="2160"/>
          </w:tcPr>
          <w:p>
            <w:r>
              <w:t>-6.1%</w:t>
            </w:r>
          </w:p>
        </w:tc>
        <w:tc>
          <w:tcPr>
            <w:tcW w:type="dxa" w:w="2160"/>
          </w:tcPr>
          <w:p>
            <w:r>
              <w:t>63%</w:t>
            </w:r>
          </w:p>
        </w:tc>
      </w:tr>
      <w:tr>
        <w:tc>
          <w:tcPr>
            <w:tcW w:type="dxa" w:w="2160"/>
          </w:tcPr>
          <w:p>
            <w:r>
              <w:t>2018</w:t>
            </w:r>
          </w:p>
        </w:tc>
        <w:tc>
          <w:tcPr>
            <w:tcW w:type="dxa" w:w="2160"/>
          </w:tcPr>
          <w:p>
            <w:r>
              <w:t>+23.8%</w:t>
            </w:r>
          </w:p>
        </w:tc>
        <w:tc>
          <w:tcPr>
            <w:tcW w:type="dxa" w:w="2160"/>
          </w:tcPr>
          <w:p>
            <w:r>
              <w:t>-14.4%</w:t>
            </w:r>
          </w:p>
        </w:tc>
        <w:tc>
          <w:tcPr>
            <w:tcW w:type="dxa" w:w="2160"/>
          </w:tcPr>
          <w:p>
            <w:r>
              <w:t>80%</w:t>
            </w:r>
          </w:p>
        </w:tc>
      </w:tr>
    </w:tbl>
    <w:p/>
    <w:p>
      <w:pPr>
        <w:pStyle w:val="Heading1"/>
      </w:pPr>
      <w:r>
        <w:t>四、权益曲线（摘要）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周次</w:t>
            </w:r>
          </w:p>
        </w:tc>
        <w:tc>
          <w:tcPr>
            <w:tcW w:type="dxa" w:w="2160"/>
          </w:tcPr>
          <w:p>
            <w:r>
              <w:t>权益</w:t>
            </w:r>
          </w:p>
        </w:tc>
        <w:tc>
          <w:tcPr>
            <w:tcW w:type="dxa" w:w="2160"/>
          </w:tcPr>
          <w:p>
            <w:r>
              <w:t>持仓数</w:t>
            </w:r>
          </w:p>
        </w:tc>
        <w:tc>
          <w:tcPr>
            <w:tcW w:type="dxa" w:w="2160"/>
          </w:tcPr>
          <w:p>
            <w:r>
              <w:t>占比</w:t>
            </w:r>
          </w:p>
        </w:tc>
      </w:tr>
      <w:tr>
        <w:tc>
          <w:tcPr>
            <w:tcW w:type="dxa" w:w="2160"/>
          </w:tcPr>
          <w:p>
            <w:r>
              <w:t>2010-W52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2011-W13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2011-W26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2011-W39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2012-W01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2012-W15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2012-W28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2012-W42</w:t>
            </w:r>
          </w:p>
        </w:tc>
        <w:tc>
          <w:tcPr>
            <w:tcW w:type="dxa" w:w="2160"/>
          </w:tcPr>
          <w:p>
            <w:r>
              <w:t>1.0046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2013-W03</w:t>
            </w:r>
          </w:p>
        </w:tc>
        <w:tc>
          <w:tcPr>
            <w:tcW w:type="dxa" w:w="2160"/>
          </w:tcPr>
          <w:p>
            <w:r>
              <w:t>0.9717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2013-W17</w:t>
            </w:r>
          </w:p>
        </w:tc>
        <w:tc>
          <w:tcPr>
            <w:tcW w:type="dxa" w:w="2160"/>
          </w:tcPr>
          <w:p>
            <w:r>
              <w:t>0.9736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2013-W30</w:t>
            </w:r>
          </w:p>
        </w:tc>
        <w:tc>
          <w:tcPr>
            <w:tcW w:type="dxa" w:w="2160"/>
          </w:tcPr>
          <w:p>
            <w:r>
              <w:t>0.9845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2013-W43</w:t>
            </w:r>
          </w:p>
        </w:tc>
        <w:tc>
          <w:tcPr>
            <w:tcW w:type="dxa" w:w="2160"/>
          </w:tcPr>
          <w:p>
            <w:r>
              <w:t>1.0465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2014-W04</w:t>
            </w:r>
          </w:p>
        </w:tc>
        <w:tc>
          <w:tcPr>
            <w:tcW w:type="dxa" w:w="2160"/>
          </w:tcPr>
          <w:p>
            <w:r>
              <w:t>1.0008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2014-W17</w:t>
            </w:r>
          </w:p>
        </w:tc>
        <w:tc>
          <w:tcPr>
            <w:tcW w:type="dxa" w:w="2160"/>
          </w:tcPr>
          <w:p>
            <w:r>
              <w:t>0.9074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2014-W30</w:t>
            </w:r>
          </w:p>
        </w:tc>
        <w:tc>
          <w:tcPr>
            <w:tcW w:type="dxa" w:w="2160"/>
          </w:tcPr>
          <w:p>
            <w:r>
              <w:t>0.9170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2014-W43</w:t>
            </w:r>
          </w:p>
        </w:tc>
        <w:tc>
          <w:tcPr>
            <w:tcW w:type="dxa" w:w="2160"/>
          </w:tcPr>
          <w:p>
            <w:r>
              <w:t>0.8869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2015-W04</w:t>
            </w:r>
          </w:p>
        </w:tc>
        <w:tc>
          <w:tcPr>
            <w:tcW w:type="dxa" w:w="2160"/>
          </w:tcPr>
          <w:p>
            <w:r>
              <w:t>0.8777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2015-W17</w:t>
            </w:r>
          </w:p>
        </w:tc>
        <w:tc>
          <w:tcPr>
            <w:tcW w:type="dxa" w:w="2160"/>
          </w:tcPr>
          <w:p>
            <w:r>
              <w:t>0.9015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2015-W30</w:t>
            </w:r>
          </w:p>
        </w:tc>
        <w:tc>
          <w:tcPr>
            <w:tcW w:type="dxa" w:w="2160"/>
          </w:tcPr>
          <w:p>
            <w:r>
              <w:t>0.8949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2015-W43</w:t>
            </w:r>
          </w:p>
        </w:tc>
        <w:tc>
          <w:tcPr>
            <w:tcW w:type="dxa" w:w="2160"/>
          </w:tcPr>
          <w:p>
            <w:r>
              <w:t>0.8950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2016-W03</w:t>
            </w:r>
          </w:p>
        </w:tc>
        <w:tc>
          <w:tcPr>
            <w:tcW w:type="dxa" w:w="2160"/>
          </w:tcPr>
          <w:p>
            <w:r>
              <w:t>0.8791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2016-W17</w:t>
            </w:r>
          </w:p>
        </w:tc>
        <w:tc>
          <w:tcPr>
            <w:tcW w:type="dxa" w:w="2160"/>
          </w:tcPr>
          <w:p>
            <w:r>
              <w:t>0.9504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2016-W30</w:t>
            </w:r>
          </w:p>
        </w:tc>
        <w:tc>
          <w:tcPr>
            <w:tcW w:type="dxa" w:w="2160"/>
          </w:tcPr>
          <w:p>
            <w:r>
              <w:t>0.9044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2016-W44</w:t>
            </w:r>
          </w:p>
        </w:tc>
        <w:tc>
          <w:tcPr>
            <w:tcW w:type="dxa" w:w="2160"/>
          </w:tcPr>
          <w:p>
            <w:r>
              <w:t>0.8581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2017-W05</w:t>
            </w:r>
          </w:p>
        </w:tc>
        <w:tc>
          <w:tcPr>
            <w:tcW w:type="dxa" w:w="2160"/>
          </w:tcPr>
          <w:p>
            <w:r>
              <w:t>0.9045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2017-W18</w:t>
            </w:r>
          </w:p>
        </w:tc>
        <w:tc>
          <w:tcPr>
            <w:tcW w:type="dxa" w:w="2160"/>
          </w:tcPr>
          <w:p>
            <w:r>
              <w:t>0.8687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2017-W31</w:t>
            </w:r>
          </w:p>
        </w:tc>
        <w:tc>
          <w:tcPr>
            <w:tcW w:type="dxa" w:w="2160"/>
          </w:tcPr>
          <w:p>
            <w:r>
              <w:t>0.8662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2017-W45</w:t>
            </w:r>
          </w:p>
        </w:tc>
        <w:tc>
          <w:tcPr>
            <w:tcW w:type="dxa" w:w="2160"/>
          </w:tcPr>
          <w:p>
            <w:r>
              <w:t>0.9493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2018-W06</w:t>
            </w:r>
          </w:p>
        </w:tc>
        <w:tc>
          <w:tcPr>
            <w:tcW w:type="dxa" w:w="2160"/>
          </w:tcPr>
          <w:p>
            <w:r>
              <w:t>0.9156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2018-W19</w:t>
            </w:r>
          </w:p>
        </w:tc>
        <w:tc>
          <w:tcPr>
            <w:tcW w:type="dxa" w:w="2160"/>
          </w:tcPr>
          <w:p>
            <w:r>
              <w:t>1.0551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2018-W32</w:t>
            </w:r>
          </w:p>
        </w:tc>
        <w:tc>
          <w:tcPr>
            <w:tcW w:type="dxa" w:w="2160"/>
          </w:tcPr>
          <w:p>
            <w:r>
              <w:t>1.1128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2018-W46</w:t>
            </w:r>
          </w:p>
        </w:tc>
        <w:tc>
          <w:tcPr>
            <w:tcW w:type="dxa" w:w="2160"/>
          </w:tcPr>
          <w:p>
            <w:r>
              <w:t>1.1767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2018-W52</w:t>
            </w:r>
          </w:p>
        </w:tc>
        <w:tc>
          <w:tcPr>
            <w:tcW w:type="dxa" w:w="2160"/>
          </w:tcPr>
          <w:p>
            <w:r>
              <w:t>1.1835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