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- 稳健版详解</w:t>
      </w:r>
    </w:p>
    <w:p>
      <w:pPr>
        <w:jc w:val="center"/>
      </w:pPr>
      <w:r>
        <w:t>版本：v4.0 稳健版 | 生成日期：2026-05-05</w:t>
      </w:r>
    </w:p>
    <w:p/>
    <w:p>
      <w:pPr>
        <w:pStyle w:val="Heading1"/>
      </w:pPr>
      <w:r>
        <w:t>一、策略核心逻辑</w:t>
      </w:r>
    </w:p>
    <w:p>
      <w:r>
        <w:rPr>
          <w:b/>
        </w:rPr>
        <w:t>一句话总结：</w:t>
      </w:r>
      <w:r>
        <w:t>每周选短期趋势最强、且没涨太贵的5只ETF等权持有。</w:t>
      </w:r>
    </w:p>
    <w:p/>
    <w:p>
      <w:r>
        <w:rPr>
          <w:b/>
        </w:rPr>
        <w:t>三大筛选条件：</w:t>
      </w:r>
    </w:p>
    <w:p>
      <w:pPr>
        <w:pStyle w:val="ListNumber"/>
      </w:pPr>
      <w:r>
        <w:t>① 3周动量&gt;0 → 价格处于上升趋势</w:t>
      </w:r>
    </w:p>
    <w:p>
      <w:pPr>
        <w:pStyle w:val="ListNumber"/>
      </w:pPr>
      <w:r>
        <w:t>② 价格&gt;MA5&gt;MA21 → 短期和中期趋势均向上</w:t>
      </w:r>
    </w:p>
    <w:p>
      <w:pPr>
        <w:pStyle w:val="ListNumber"/>
      </w:pPr>
      <w:r>
        <w:t>③ 偏离度≤15% → 相对MA21没涨太离谱（防追高）</w:t>
      </w:r>
    </w:p>
    <w:p>
      <w:pPr>
        <w:pStyle w:val="Heading1"/>
      </w:pPr>
      <w:r>
        <w:t>二、具体参数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稳健版设置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</w:tr>
      <w:tr>
        <w:tc>
          <w:tcPr>
            <w:tcW w:type="dxa" w:w="2880"/>
          </w:tcPr>
          <w:p>
            <w:r>
              <w:t>动量回看期</w:t>
            </w:r>
          </w:p>
        </w:tc>
        <w:tc>
          <w:tcPr>
            <w:tcW w:type="dxa" w:w="2880"/>
          </w:tcPr>
          <w:p>
            <w:r>
              <w:t>3周</w:t>
            </w:r>
          </w:p>
        </w:tc>
        <w:tc>
          <w:tcPr>
            <w:tcW w:type="dxa" w:w="2880"/>
          </w:tcPr>
          <w:p>
            <w:r>
              <w:t>衡量短期趋势强度</w:t>
            </w:r>
          </w:p>
        </w:tc>
      </w:tr>
      <w:tr>
        <w:tc>
          <w:tcPr>
            <w:tcW w:type="dxa" w:w="2880"/>
          </w:tcPr>
          <w:p>
            <w:r>
              <w:t>快MA</w:t>
            </w:r>
          </w:p>
        </w:tc>
        <w:tc>
          <w:tcPr>
            <w:tcW w:type="dxa" w:w="2880"/>
          </w:tcPr>
          <w:p>
            <w:r>
              <w:t>MA5（5周均线）</w:t>
            </w:r>
          </w:p>
        </w:tc>
        <w:tc>
          <w:tcPr>
            <w:tcW w:type="dxa" w:w="2880"/>
          </w:tcPr>
          <w:p>
            <w:r>
              <w:t>约1个月，快速趋势线</w:t>
            </w:r>
          </w:p>
        </w:tc>
      </w:tr>
      <w:tr>
        <w:tc>
          <w:tcPr>
            <w:tcW w:type="dxa" w:w="2880"/>
          </w:tcPr>
          <w:p>
            <w:r>
              <w:t>慢MA</w:t>
            </w:r>
          </w:p>
        </w:tc>
        <w:tc>
          <w:tcPr>
            <w:tcW w:type="dxa" w:w="2880"/>
          </w:tcPr>
          <w:p>
            <w:r>
              <w:t>MA21（21周均线）</w:t>
            </w:r>
          </w:p>
        </w:tc>
        <w:tc>
          <w:tcPr>
            <w:tcW w:type="dxa" w:w="2880"/>
          </w:tcPr>
          <w:p>
            <w:r>
              <w:t>约5个月，中期趋势锚定</w:t>
            </w:r>
          </w:p>
        </w:tc>
      </w:tr>
      <w:tr>
        <w:tc>
          <w:tcPr>
            <w:tcW w:type="dxa" w:w="2880"/>
          </w:tcPr>
          <w:p>
            <w:r>
              <w:t>偏离度上限</w:t>
            </w:r>
          </w:p>
        </w:tc>
        <w:tc>
          <w:tcPr>
            <w:tcW w:type="dxa" w:w="2880"/>
          </w:tcPr>
          <w:p>
            <w:r>
              <w:t>≤15%</w:t>
            </w:r>
          </w:p>
        </w:tc>
        <w:tc>
          <w:tcPr>
            <w:tcW w:type="dxa" w:w="2880"/>
          </w:tcPr>
          <w:p>
            <w:r>
              <w:t>当前价相对MA21涨幅不超过15%</w:t>
            </w:r>
          </w:p>
        </w:tc>
      </w:tr>
      <w:tr>
        <w:tc>
          <w:tcPr>
            <w:tcW w:type="dxa" w:w="2880"/>
          </w:tcPr>
          <w:p>
            <w:r>
              <w:t>持仓数</w:t>
            </w:r>
          </w:p>
        </w:tc>
        <w:tc>
          <w:tcPr>
            <w:tcW w:type="dxa" w:w="2880"/>
          </w:tcPr>
          <w:p>
            <w:r>
              <w:t>最多5只</w:t>
            </w:r>
          </w:p>
        </w:tc>
        <w:tc>
          <w:tcPr>
            <w:tcW w:type="dxa" w:w="2880"/>
          </w:tcPr>
          <w:p>
            <w:r>
              <w:t>等权配置，每只20%</w:t>
            </w:r>
          </w:p>
        </w:tc>
      </w:tr>
      <w:tr>
        <w:tc>
          <w:tcPr>
            <w:tcW w:type="dxa" w:w="2880"/>
          </w:tcPr>
          <w:p>
            <w:r>
              <w:t>止损</w:t>
            </w:r>
          </w:p>
        </w:tc>
        <w:tc>
          <w:tcPr>
            <w:tcW w:type="dxa" w:w="2880"/>
          </w:tcPr>
          <w:p>
            <w:r>
              <w:t>成本-8% + 高点回撤-10%</w:t>
            </w:r>
          </w:p>
        </w:tc>
        <w:tc>
          <w:tcPr>
            <w:tcW w:type="dxa" w:w="2880"/>
          </w:tcPr>
          <w:p>
            <w:r>
              <w:t>双重保护</w:t>
            </w:r>
          </w:p>
        </w:tc>
      </w:tr>
    </w:tbl>
    <w:p/>
    <w:p>
      <w:pPr>
        <w:pStyle w:val="Heading1"/>
      </w:pPr>
      <w:r>
        <w:t>三、指标计算方法</w:t>
      </w:r>
    </w:p>
    <w:p>
      <w:pPr>
        <w:pStyle w:val="Heading2"/>
      </w:pPr>
      <w:r>
        <w:t>1. 周K线构建</w:t>
      </w:r>
    </w:p>
    <w:p>
      <w:r>
        <w:t>每周五收盘价 = 该周最后一个交易日的收盘价（从日K线聚合得到周K线）</w:t>
      </w:r>
    </w:p>
    <w:p>
      <w:pPr>
        <w:pStyle w:val="Heading2"/>
      </w:pPr>
      <w:r>
        <w:t>2. 3周动量</w:t>
      </w:r>
    </w:p>
    <w:p>
      <w:r>
        <w:t>动量 = (本周收盘价 / 3周前收盘价) - 1</w:t>
      </w:r>
    </w:p>
    <w:p>
      <w:r>
        <w:t>例：本周价1.50，3周前价1.35，动量 = 1.50/1.35 - 1 = +11.1%</w:t>
      </w:r>
    </w:p>
    <w:p>
      <w:pPr>
        <w:pStyle w:val="Heading2"/>
      </w:pPr>
      <w:r>
        <w:t>3. MA5和MA21</w:t>
      </w:r>
    </w:p>
    <w:p>
      <w:r>
        <w:t>MA5 = 最近5周收盘价的平均值（约1个月）</w:t>
      </w:r>
    </w:p>
    <w:p>
      <w:r>
        <w:t>MA21 = 最近21周收盘价的平均值（约5个月）</w:t>
      </w:r>
    </w:p>
    <w:p>
      <w:pPr>
        <w:pStyle w:val="Heading2"/>
      </w:pPr>
      <w:r>
        <w:t>4. 偏离度</w:t>
      </w:r>
    </w:p>
    <w:p>
      <w:r>
        <w:t>偏离度 = (当前价 / MA21) - 1</w:t>
      </w:r>
    </w:p>
    <w:p>
      <w:r>
        <w:t>例：当前价1.50，MA21为1.35，偏离度 = 1.50/1.35 - 1 = +11.1%</w:t>
      </w:r>
    </w:p>
    <w:p/>
    <w:p>
      <w:pPr>
        <w:pStyle w:val="Heading1"/>
      </w:pPr>
      <w:r>
        <w:t>四、买入条件（同时满足）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计算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① 动量&gt;0</w:t>
            </w:r>
          </w:p>
        </w:tc>
        <w:tc>
          <w:tcPr>
            <w:tcW w:type="dxa" w:w="2880"/>
          </w:tcPr>
          <w:p>
            <w:r>
              <w:t>本周价 &gt; 3周前价</w:t>
            </w:r>
          </w:p>
        </w:tc>
        <w:tc>
          <w:tcPr>
            <w:tcW w:type="dxa" w:w="2880"/>
          </w:tcPr>
          <w:p>
            <w:r>
              <w:t>确认上升趋势</w:t>
            </w:r>
          </w:p>
        </w:tc>
      </w:tr>
      <w:tr>
        <w:tc>
          <w:tcPr>
            <w:tcW w:type="dxa" w:w="2880"/>
          </w:tcPr>
          <w:p>
            <w:r>
              <w:t>② 价格&gt;MA5&gt;MA21</w:t>
            </w:r>
          </w:p>
        </w:tc>
        <w:tc>
          <w:tcPr>
            <w:tcW w:type="dxa" w:w="2880"/>
          </w:tcPr>
          <w:p>
            <w:r>
              <w:t>短期在中期上方</w:t>
            </w:r>
          </w:p>
        </w:tc>
        <w:tc>
          <w:tcPr>
            <w:tcW w:type="dxa" w:w="2880"/>
          </w:tcPr>
          <w:p>
            <w:r>
              <w:t>双均线多头排列</w:t>
            </w:r>
          </w:p>
        </w:tc>
      </w:tr>
      <w:tr>
        <w:tc>
          <w:tcPr>
            <w:tcW w:type="dxa" w:w="2880"/>
          </w:tcPr>
          <w:p>
            <w:r>
              <w:t>③ 偏离度≤15%</w:t>
            </w:r>
          </w:p>
        </w:tc>
        <w:tc>
          <w:tcPr>
            <w:tcW w:type="dxa" w:w="2880"/>
          </w:tcPr>
          <w:p>
            <w:r>
              <w:t>当前价 ≤ MA21×1.15</w:t>
            </w:r>
          </w:p>
        </w:tc>
        <w:tc>
          <w:tcPr>
            <w:tcW w:type="dxa" w:w="2880"/>
          </w:tcPr>
          <w:p>
            <w:r>
              <w:t>没涨太贵，防追高</w:t>
            </w:r>
          </w:p>
        </w:tc>
      </w:tr>
    </w:tbl>
    <w:p/>
    <w:p>
      <w:r>
        <w:rPr>
          <w:b/>
        </w:rPr>
        <w:t>操作时序：</w:t>
      </w:r>
    </w:p>
    <w:p>
      <w:r>
        <w:t>• 周五收盘后计算信号</w:t>
      </w:r>
    </w:p>
    <w:p>
      <w:r>
        <w:t>• 下周一开盘执行买入</w:t>
      </w:r>
    </w:p>
    <w:p>
      <w:r>
        <w:t>• （信号生成与执行差一周，无前视偏差）</w:t>
      </w:r>
    </w:p>
    <w:p>
      <w:pPr>
        <w:pStyle w:val="Heading1"/>
      </w:pPr>
      <w:r>
        <w:t>五、卖出条件（满足任一）</w:t>
      </w:r>
    </w:p>
    <w:p>
      <w:pPr>
        <w:pStyle w:val="Heading2"/>
      </w:pPr>
      <w:r>
        <w:t>① 强制退出（必须卖）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情况</w:t>
            </w:r>
          </w:p>
        </w:tc>
        <w:tc>
          <w:tcPr>
            <w:tcW w:type="dxa" w:w="4320"/>
          </w:tcPr>
          <w:p>
            <w:r>
              <w:t>条件</w:t>
            </w:r>
          </w:p>
        </w:tc>
      </w:tr>
      <w:tr>
        <w:tc>
          <w:tcPr>
            <w:tcW w:type="dxa" w:w="4320"/>
          </w:tcPr>
          <w:p>
            <w:r>
              <w:t>动量转负</w:t>
            </w:r>
          </w:p>
        </w:tc>
        <w:tc>
          <w:tcPr>
            <w:tcW w:type="dxa" w:w="4320"/>
          </w:tcPr>
          <w:p>
            <w:r>
              <w:t>本周价 &lt; 3周前价</w:t>
            </w:r>
          </w:p>
        </w:tc>
      </w:tr>
      <w:tr>
        <w:tc>
          <w:tcPr>
            <w:tcW w:type="dxa" w:w="4320"/>
          </w:tcPr>
          <w:p>
            <w:r>
              <w:t>趋势破坏</w:t>
            </w:r>
          </w:p>
        </w:tc>
        <w:tc>
          <w:tcPr>
            <w:tcW w:type="dxa" w:w="4320"/>
          </w:tcPr>
          <w:p>
            <w:r>
              <w:t>价格 ≤ MA5，或 MA5 ≤ MA21</w:t>
            </w:r>
          </w:p>
        </w:tc>
      </w:tr>
      <w:tr>
        <w:tc>
          <w:tcPr>
            <w:tcW w:type="dxa" w:w="4320"/>
          </w:tcPr>
          <w:p>
            <w:r>
              <w:t>偏离超限</w:t>
            </w:r>
          </w:p>
        </w:tc>
        <w:tc>
          <w:tcPr>
            <w:tcW w:type="dxa" w:w="4320"/>
          </w:tcPr>
          <w:p>
            <w:r>
              <w:t>偏离度 &gt; 15%</w:t>
            </w:r>
          </w:p>
        </w:tc>
      </w:tr>
    </w:tbl>
    <w:p/>
    <w:p>
      <w:pPr>
        <w:pStyle w:val="Heading2"/>
      </w:pPr>
      <w:r>
        <w:t>② 止损退出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条件</w:t>
            </w:r>
          </w:p>
        </w:tc>
        <w:tc>
          <w:tcPr>
            <w:tcW w:type="dxa" w:w="2880"/>
          </w:tcPr>
          <w:p>
            <w:r>
              <w:t>触发</w:t>
            </w:r>
          </w:p>
        </w:tc>
      </w:tr>
      <w:tr>
        <w:tc>
          <w:tcPr>
            <w:tcW w:type="dxa" w:w="2880"/>
          </w:tcPr>
          <w:p>
            <w:r>
              <w:t>成本止损</w:t>
            </w:r>
          </w:p>
        </w:tc>
        <w:tc>
          <w:tcPr>
            <w:tcW w:type="dxa" w:w="2880"/>
          </w:tcPr>
          <w:p>
            <w:r>
              <w:t>当前价 ≤ 买入价×92%</w:t>
            </w:r>
          </w:p>
        </w:tc>
        <w:tc>
          <w:tcPr>
            <w:tcW w:type="dxa" w:w="2880"/>
          </w:tcPr>
          <w:p>
            <w:r>
              <w:t>亏损8%就砍</w:t>
            </w:r>
          </w:p>
        </w:tc>
      </w:tr>
      <w:tr>
        <w:tc>
          <w:tcPr>
            <w:tcW w:type="dxa" w:w="2880"/>
          </w:tcPr>
          <w:p>
            <w:r>
              <w:t>高点回撤止损</w:t>
            </w:r>
          </w:p>
        </w:tc>
        <w:tc>
          <w:tcPr>
            <w:tcW w:type="dxa" w:w="2880"/>
          </w:tcPr>
          <w:p>
            <w:r>
              <w:t>当前价 ≤ 持有期间最高价×90%</w:t>
            </w:r>
          </w:p>
        </w:tc>
        <w:tc>
          <w:tcPr>
            <w:tcW w:type="dxa" w:w="2880"/>
          </w:tcPr>
          <w:p>
            <w:r>
              <w:t>从最高点回撤10%锁利</w:t>
            </w:r>
          </w:p>
        </w:tc>
      </w:tr>
    </w:tbl>
    <w:p/>
    <w:p>
      <w:pPr>
        <w:pStyle w:val="Heading1"/>
      </w:pPr>
      <w:r>
        <w:t>六、换仓流程</w:t>
      </w:r>
    </w:p>
    <w:p>
      <w:r>
        <w:t>每周五收盘后：</w:t>
      </w:r>
    </w:p>
    <w:p>
      <w:pPr>
        <w:pStyle w:val="ListNumber"/>
      </w:pPr>
      <w:r>
        <w:t>1. 计算195只ETF的动量/MA5/MA21/偏离度</w:t>
      </w:r>
    </w:p>
    <w:p>
      <w:pPr>
        <w:pStyle w:val="ListNumber"/>
      </w:pPr>
      <w:r>
        <w:t>2. 筛选满足三条件的合格标的</w:t>
      </w:r>
    </w:p>
    <w:p>
      <w:pPr>
        <w:pStyle w:val="ListNumber"/>
      </w:pPr>
      <w:r>
        <w:t>3. 同一指数类别只选动量最高的1只（去重）</w:t>
      </w:r>
    </w:p>
    <w:p>
      <w:pPr>
        <w:pStyle w:val="ListNumber"/>
      </w:pPr>
      <w:r>
        <w:t>4. 按动量排序，取Top5作为候选</w:t>
      </w:r>
    </w:p>
    <w:p>
      <w:pPr>
        <w:pStyle w:val="ListNumber"/>
      </w:pPr>
      <w:r>
        <w:t>5. 对比当前持仓：</w:t>
      </w:r>
    </w:p>
    <w:p>
      <w:r>
        <w:t xml:space="preserve">   • 不满足条件 → 下周一卖出</w:t>
      </w:r>
    </w:p>
    <w:p>
      <w:r>
        <w:t xml:space="preserve">   • 新候选更优 → 下周一换仓</w:t>
      </w:r>
    </w:p>
    <w:p>
      <w:r>
        <w:t xml:space="preserve">   • 持仓合格 → 继续持有</w:t>
      </w:r>
    </w:p>
    <w:p>
      <w:pPr>
        <w:pStyle w:val="ListNumber"/>
      </w:pPr>
      <w:r>
        <w:t>6. 无合格标的 → 空仓持有现金</w:t>
      </w:r>
    </w:p>
    <w:p/>
    <w:p>
      <w:r>
        <w:t>下周一开盘 → 执行操作 → 记录交易</w:t>
      </w:r>
    </w:p>
    <w:p>
      <w:pPr>
        <w:pStyle w:val="Heading1"/>
      </w:pPr>
      <w:r>
        <w:t>七、回测表现（2020-2026，324周）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指标</w:t>
            </w:r>
          </w:p>
        </w:tc>
        <w:tc>
          <w:tcPr>
            <w:tcW w:type="dxa" w:w="2880"/>
          </w:tcPr>
          <w:p>
            <w:r>
              <w:t>数值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年化收益</w:t>
            </w:r>
          </w:p>
        </w:tc>
        <w:tc>
          <w:tcPr>
            <w:tcW w:type="dxa" w:w="2880"/>
          </w:tcPr>
          <w:p>
            <w:r>
              <w:t>+17.2%</w:t>
            </w:r>
          </w:p>
        </w:tc>
        <w:tc>
          <w:tcPr>
            <w:tcW w:type="dxa" w:w="2880"/>
          </w:tcPr>
          <w:p>
            <w:r>
              <w:t>复利计算</w:t>
            </w:r>
          </w:p>
        </w:tc>
      </w:tr>
      <w:tr>
        <w:tc>
          <w:tcPr>
            <w:tcW w:type="dxa" w:w="2880"/>
          </w:tcPr>
          <w:p>
            <w:r>
              <w:t>最大回撤</w:t>
            </w:r>
          </w:p>
        </w:tc>
        <w:tc>
          <w:tcPr>
            <w:tcW w:type="dxa" w:w="2880"/>
          </w:tcPr>
          <w:p>
            <w:r>
              <w:t>-21.9%</w:t>
            </w:r>
          </w:p>
        </w:tc>
        <w:tc>
          <w:tcPr>
            <w:tcW w:type="dxa" w:w="2880"/>
          </w:tcPr>
          <w:p>
            <w:r>
              <w:t>控制在-25%以内</w:t>
            </w:r>
          </w:p>
        </w:tc>
      </w:tr>
      <w:tr>
        <w:tc>
          <w:tcPr>
            <w:tcW w:type="dxa" w:w="2880"/>
          </w:tcPr>
          <w:p>
            <w:r>
              <w:t>夏普比率</w:t>
            </w:r>
          </w:p>
        </w:tc>
        <w:tc>
          <w:tcPr>
            <w:tcW w:type="dxa" w:w="2880"/>
          </w:tcPr>
          <w:p>
            <w:r>
              <w:t>0.94</w:t>
            </w:r>
          </w:p>
        </w:tc>
        <w:tc>
          <w:tcPr>
            <w:tcW w:type="dxa" w:w="2880"/>
          </w:tcPr>
          <w:p>
            <w:r>
              <w:t>&gt;0.5为可用，&gt;1为优秀</w:t>
            </w:r>
          </w:p>
        </w:tc>
      </w:tr>
      <w:tr>
        <w:tc>
          <w:tcPr>
            <w:tcW w:type="dxa" w:w="2880"/>
          </w:tcPr>
          <w:p>
            <w:r>
              <w:t>总收益</w:t>
            </w:r>
          </w:p>
        </w:tc>
        <w:tc>
          <w:tcPr>
            <w:tcW w:type="dxa" w:w="2880"/>
          </w:tcPr>
          <w:p>
            <w:r>
              <w:t>+170.7%</w:t>
            </w:r>
          </w:p>
        </w:tc>
        <w:tc>
          <w:tcPr>
            <w:tcW w:type="dxa" w:w="2880"/>
          </w:tcPr>
          <w:p>
            <w:r>
              <w:t>6年翻1.7倍</w:t>
            </w:r>
          </w:p>
        </w:tc>
      </w:tr>
    </w:tbl>
    <w:p/>
    <w:p>
      <w:pPr>
        <w:pStyle w:val="Heading2"/>
      </w:pPr>
      <w:r>
        <w:t>年度收益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年份</w:t>
            </w:r>
          </w:p>
        </w:tc>
        <w:tc>
          <w:tcPr>
            <w:tcW w:type="dxa" w:w="2880"/>
          </w:tcPr>
          <w:p>
            <w:r>
              <w:t>收益</w:t>
            </w:r>
          </w:p>
        </w:tc>
        <w:tc>
          <w:tcPr>
            <w:tcW w:type="dxa" w:w="2880"/>
          </w:tcPr>
          <w:p>
            <w:r>
              <w:t>市场环境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+21.9%</w:t>
            </w:r>
          </w:p>
        </w:tc>
        <w:tc>
          <w:tcPr>
            <w:tcW w:type="dxa" w:w="2880"/>
          </w:tcPr>
          <w:p>
            <w:r>
              <w:t>疫情后反弹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+28.3%</w:t>
            </w:r>
          </w:p>
        </w:tc>
        <w:tc>
          <w:tcPr>
            <w:tcW w:type="dxa" w:w="2880"/>
          </w:tcPr>
          <w:p>
            <w:r>
              <w:t>结构性牛市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-10.3%</w:t>
            </w:r>
          </w:p>
        </w:tc>
        <w:tc>
          <w:tcPr>
            <w:tcW w:type="dxa" w:w="2880"/>
          </w:tcPr>
          <w:p>
            <w:r>
              <w:t>熊市，回撤可控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-4.8%</w:t>
            </w:r>
          </w:p>
        </w:tc>
        <w:tc>
          <w:tcPr>
            <w:tcW w:type="dxa" w:w="2880"/>
          </w:tcPr>
          <w:p>
            <w:r>
              <w:t>震荡市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+1.7%</w:t>
            </w:r>
          </w:p>
        </w:tc>
        <w:tc>
          <w:tcPr>
            <w:tcW w:type="dxa" w:w="2880"/>
          </w:tcPr>
          <w:p>
            <w:r>
              <w:t>低迷市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+48.3%</w:t>
            </w:r>
          </w:p>
        </w:tc>
        <w:tc>
          <w:tcPr>
            <w:tcW w:type="dxa" w:w="2880"/>
          </w:tcPr>
          <w:p>
            <w:r>
              <w:t>科技牛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+28.5%</w:t>
            </w:r>
          </w:p>
        </w:tc>
        <w:tc>
          <w:tcPr>
            <w:tcW w:type="dxa" w:w="2880"/>
          </w:tcPr>
          <w:p>
            <w:r>
              <w:t>截至第18周</w:t>
            </w:r>
          </w:p>
        </w:tc>
      </w:tr>
    </w:tbl>
    <w:p/>
    <w:p>
      <w:pPr>
        <w:pStyle w:val="Heading1"/>
      </w:pPr>
      <w:r>
        <w:t>八、稳健版 vs 进取版对比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参数</w:t>
            </w:r>
          </w:p>
        </w:tc>
        <w:tc>
          <w:tcPr>
            <w:tcW w:type="dxa" w:w="2880"/>
          </w:tcPr>
          <w:p>
            <w:r>
              <w:t>稳健版</w:t>
            </w:r>
          </w:p>
        </w:tc>
        <w:tc>
          <w:tcPr>
            <w:tcW w:type="dxa" w:w="2880"/>
          </w:tcPr>
          <w:p>
            <w:r>
              <w:t>进取版</w:t>
            </w:r>
          </w:p>
        </w:tc>
      </w:tr>
      <w:tr>
        <w:tc>
          <w:tcPr>
            <w:tcW w:type="dxa" w:w="2880"/>
          </w:tcPr>
          <w:p>
            <w:r>
              <w:t>偏离度</w:t>
            </w:r>
          </w:p>
        </w:tc>
        <w:tc>
          <w:tcPr>
            <w:tcW w:type="dxa" w:w="2880"/>
          </w:tcPr>
          <w:p>
            <w:r>
              <w:t>≤15%</w:t>
            </w:r>
          </w:p>
        </w:tc>
        <w:tc>
          <w:tcPr>
            <w:tcW w:type="dxa" w:w="2880"/>
          </w:tcPr>
          <w:p>
            <w:r>
              <w:t>≤10%</w:t>
            </w:r>
          </w:p>
        </w:tc>
      </w:tr>
      <w:tr>
        <w:tc>
          <w:tcPr>
            <w:tcW w:type="dxa" w:w="2880"/>
          </w:tcPr>
          <w:p>
            <w:r>
              <w:t>持仓数</w:t>
            </w:r>
          </w:p>
        </w:tc>
        <w:tc>
          <w:tcPr>
            <w:tcW w:type="dxa" w:w="2880"/>
          </w:tcPr>
          <w:p>
            <w:r>
              <w:t>5只</w:t>
            </w:r>
          </w:p>
        </w:tc>
        <w:tc>
          <w:tcPr>
            <w:tcW w:type="dxa" w:w="2880"/>
          </w:tcPr>
          <w:p>
            <w:r>
              <w:t>4只</w:t>
            </w:r>
          </w:p>
        </w:tc>
      </w:tr>
      <w:tr>
        <w:tc>
          <w:tcPr>
            <w:tcW w:type="dxa" w:w="2880"/>
          </w:tcPr>
          <w:p>
            <w:r>
              <w:t>年化收益</w:t>
            </w:r>
          </w:p>
        </w:tc>
        <w:tc>
          <w:tcPr>
            <w:tcW w:type="dxa" w:w="2880"/>
          </w:tcPr>
          <w:p>
            <w:r>
              <w:t>+17.2%</w:t>
            </w:r>
          </w:p>
        </w:tc>
        <w:tc>
          <w:tcPr>
            <w:tcW w:type="dxa" w:w="2880"/>
          </w:tcPr>
          <w:p>
            <w:r>
              <w:t>+21.8%</w:t>
            </w:r>
          </w:p>
        </w:tc>
      </w:tr>
      <w:tr>
        <w:tc>
          <w:tcPr>
            <w:tcW w:type="dxa" w:w="2880"/>
          </w:tcPr>
          <w:p>
            <w:r>
              <w:t>最大回撤</w:t>
            </w:r>
          </w:p>
        </w:tc>
        <w:tc>
          <w:tcPr>
            <w:tcW w:type="dxa" w:w="2880"/>
          </w:tcPr>
          <w:p>
            <w:r>
              <w:t>-21.9%</w:t>
            </w:r>
          </w:p>
        </w:tc>
        <w:tc>
          <w:tcPr>
            <w:tcW w:type="dxa" w:w="2880"/>
          </w:tcPr>
          <w:p>
            <w:r>
              <w:t>-21.3%</w:t>
            </w:r>
          </w:p>
        </w:tc>
      </w:tr>
      <w:tr>
        <w:tc>
          <w:tcPr>
            <w:tcW w:type="dxa" w:w="2880"/>
          </w:tcPr>
          <w:p>
            <w:r>
              <w:t>夏普比率</w:t>
            </w:r>
          </w:p>
        </w:tc>
        <w:tc>
          <w:tcPr>
            <w:tcW w:type="dxa" w:w="2880"/>
          </w:tcPr>
          <w:p>
            <w:r>
              <w:t>0.94</w:t>
            </w:r>
          </w:p>
        </w:tc>
        <w:tc>
          <w:tcPr>
            <w:tcW w:type="dxa" w:w="2880"/>
          </w:tcPr>
          <w:p>
            <w:r>
              <w:t>1.16</w:t>
            </w:r>
          </w:p>
        </w:tc>
      </w:tr>
      <w:tr>
        <w:tc>
          <w:tcPr>
            <w:tcW w:type="dxa" w:w="2880"/>
          </w:tcPr>
          <w:p>
            <w:r>
              <w:t>分半验证(2020-22)</w:t>
            </w:r>
          </w:p>
        </w:tc>
        <w:tc>
          <w:tcPr>
            <w:tcW w:type="dxa" w:w="2880"/>
          </w:tcPr>
          <w:p>
            <w:r>
              <w:t>0.90</w:t>
            </w:r>
          </w:p>
        </w:tc>
        <w:tc>
          <w:tcPr>
            <w:tcW w:type="dxa" w:w="2880"/>
          </w:tcPr>
          <w:p>
            <w:r>
              <w:t>1.25</w:t>
            </w:r>
          </w:p>
        </w:tc>
      </w:tr>
      <w:tr>
        <w:tc>
          <w:tcPr>
            <w:tcW w:type="dxa" w:w="2880"/>
          </w:tcPr>
          <w:p>
            <w:r>
              <w:t>分半验证(2023-26)</w:t>
            </w:r>
          </w:p>
        </w:tc>
        <w:tc>
          <w:tcPr>
            <w:tcW w:type="dxa" w:w="2880"/>
          </w:tcPr>
          <w:p>
            <w:r>
              <w:t>0.93</w:t>
            </w:r>
          </w:p>
        </w:tc>
        <w:tc>
          <w:tcPr>
            <w:tcW w:type="dxa" w:w="2880"/>
          </w:tcPr>
          <w:p>
            <w:r>
              <w:t>0.70</w:t>
            </w:r>
          </w:p>
        </w:tc>
      </w:tr>
      <w:tr>
        <w:tc>
          <w:tcPr>
            <w:tcW w:type="dxa" w:w="2880"/>
          </w:tcPr>
          <w:p>
            <w:r>
              <w:t>稳定性</w:t>
            </w:r>
          </w:p>
        </w:tc>
        <w:tc>
          <w:tcPr>
            <w:tcW w:type="dxa" w:w="2880"/>
          </w:tcPr>
          <w:p>
            <w:r>
              <w:t>✅ 两期均衡</w:t>
            </w:r>
          </w:p>
        </w:tc>
        <w:tc>
          <w:tcPr>
            <w:tcW w:type="dxa" w:w="2880"/>
          </w:tcPr>
          <w:p>
            <w:r>
              <w:t>⚠️ 前强后弱</w:t>
            </w:r>
          </w:p>
        </w:tc>
      </w:tr>
    </w:tbl>
    <w:p/>
    <w:p>
      <w:r>
        <w:rPr>
          <w:b/>
        </w:rPr>
        <w:t>结论：</w:t>
      </w:r>
      <w:r>
        <w:t>进取版夏普更高但前高后低（过拟合风险），稳健版两期均≥0.90（更可信赖）</w:t>
      </w:r>
    </w:p>
    <w:p>
      <w:pPr>
        <w:pStyle w:val="Heading1"/>
      </w:pPr>
      <w:r>
        <w:t>九、为什么稳健版可行？</w:t>
      </w:r>
    </w:p>
    <w:p>
      <w:pPr>
        <w:pStyle w:val="Heading2"/>
      </w:pPr>
      <w:r>
        <w:t>1. 偏离度15%宽松但有边界</w:t>
      </w:r>
    </w:p>
    <w:p>
      <w:r>
        <w:t>• 10%太紧，错过部分强势行情</w:t>
      </w:r>
    </w:p>
    <w:p>
      <w:r>
        <w:t>• 20%太松，容易追高被套</w:t>
      </w:r>
    </w:p>
    <w:p>
      <w:r>
        <w:t>• 15%是甜点：既有上涨空间，又控制追高风险</w:t>
      </w:r>
    </w:p>
    <w:p>
      <w:pPr>
        <w:pStyle w:val="Heading2"/>
      </w:pPr>
      <w:r>
        <w:t>2. 5只分散持仓</w:t>
      </w:r>
    </w:p>
    <w:p>
      <w:r>
        <w:t>• 降低单只黑天鹅风险</w:t>
      </w:r>
    </w:p>
    <w:p>
      <w:r>
        <w:t>• 回撤从-25.5%降到-21.9%</w:t>
      </w:r>
    </w:p>
    <w:p>
      <w:r>
        <w:t>• 夏普从1.01提升到0.94（放弃一点收益换稳定性）</w:t>
      </w:r>
    </w:p>
    <w:p>
      <w:pPr>
        <w:pStyle w:val="Heading2"/>
      </w:pPr>
      <w:r>
        <w:t>3. 分半验证通过</w:t>
      </w:r>
    </w:p>
    <w:p>
      <w:r>
        <w:t>• 2020-2022夏普0.90</w:t>
      </w:r>
    </w:p>
    <w:p>
      <w:r>
        <w:t>• 2023-2026夏普0.93</w:t>
      </w:r>
    </w:p>
    <w:p>
      <w:r>
        <w:t>• 两期均衡，无过拟合迹象</w:t>
      </w:r>
    </w:p>
    <w:p>
      <w:pPr>
        <w:pStyle w:val="Heading1"/>
      </w:pPr>
      <w:r>
        <w:t>十、风险提示</w:t>
      </w:r>
    </w:p>
    <w:p>
      <w:pPr>
        <w:pStyle w:val="ListNumber"/>
      </w:pPr>
      <w:r>
        <w:t>1. LB=3过拟合风险：回看3周是唯一有效参数，LB=4夏普从1.16暴跌至0.48（断崖式衰减可疑）</w:t>
      </w:r>
    </w:p>
    <w:p>
      <w:pPr>
        <w:pStyle w:val="ListNumber"/>
      </w:pPr>
      <w:r>
        <w:t>2. MA5切换频繁：5周均线约1个月，信号切换比MA8更频繁，需确认摩擦成本可接受</w:t>
      </w:r>
    </w:p>
    <w:p>
      <w:pPr>
        <w:pStyle w:val="ListNumber"/>
      </w:pPr>
      <w:r>
        <w:t>3. 熊市仍亏损：2022年-10.3%，只是控制了回撤，并非完全避险</w:t>
      </w:r>
    </w:p>
    <w:p>
      <w:pPr>
        <w:pStyle w:val="ListNumber"/>
      </w:pPr>
      <w:r>
        <w:t>4. 195只池早期数据不足：部分ETF历史仅1-2年，早期回测代表性有限</w:t>
      </w:r>
    </w:p>
    <w:p/>
    <w:p>
      <w:pPr>
        <w:pStyle w:val="Heading1"/>
      </w:pPr>
      <w:r>
        <w:t>十一、当前持仓与操作（截至2026-05-03）</w:t>
      </w:r>
    </w:p>
    <w:p>
      <w:pPr>
        <w:pStyle w:val="Heading2"/>
      </w:pPr>
      <w:r>
        <w:t>持仓状态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代码</w:t>
            </w:r>
          </w:p>
        </w:tc>
        <w:tc>
          <w:tcPr>
            <w:tcW w:type="dxa" w:w="2880"/>
          </w:tcPr>
          <w:p>
            <w:r>
              <w:t>名称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159819</w:t>
            </w:r>
          </w:p>
        </w:tc>
        <w:tc>
          <w:tcPr>
            <w:tcW w:type="dxa" w:w="2880"/>
          </w:tcPr>
          <w:p>
            <w:r>
              <w:t>人工智能ETF易方达</w:t>
            </w:r>
          </w:p>
        </w:tc>
        <w:tc>
          <w:tcPr>
            <w:tcW w:type="dxa" w:w="2880"/>
          </w:tcPr>
          <w:p>
            <w:r>
              <w:t>持有</w:t>
            </w:r>
          </w:p>
        </w:tc>
      </w:tr>
      <w:tr>
        <w:tc>
          <w:tcPr>
            <w:tcW w:type="dxa" w:w="2880"/>
          </w:tcPr>
          <w:p>
            <w:r>
              <w:t>588200</w:t>
            </w:r>
          </w:p>
        </w:tc>
        <w:tc>
          <w:tcPr>
            <w:tcW w:type="dxa" w:w="2880"/>
          </w:tcPr>
          <w:p>
            <w:r>
              <w:t>科创芯片ETF华夏</w:t>
            </w:r>
          </w:p>
        </w:tc>
        <w:tc>
          <w:tcPr>
            <w:tcW w:type="dxa" w:w="2880"/>
          </w:tcPr>
          <w:p>
            <w:r>
              <w:t>待卖（偏离21%超限）</w:t>
            </w:r>
          </w:p>
        </w:tc>
      </w:tr>
      <w:tr>
        <w:tc>
          <w:tcPr>
            <w:tcW w:type="dxa" w:w="2880"/>
          </w:tcPr>
          <w:p>
            <w:r>
              <w:t>159259</w:t>
            </w:r>
          </w:p>
        </w:tc>
        <w:tc>
          <w:tcPr>
            <w:tcW w:type="dxa" w:w="2880"/>
          </w:tcPr>
          <w:p>
            <w:r>
              <w:t>成长ETF易方达</w:t>
            </w:r>
          </w:p>
        </w:tc>
        <w:tc>
          <w:tcPr>
            <w:tcW w:type="dxa" w:w="2880"/>
          </w:tcPr>
          <w:p>
            <w:r>
              <w:t>待卖（偏离18.8%超限）</w:t>
            </w:r>
          </w:p>
        </w:tc>
      </w:tr>
    </w:tbl>
    <w:p/>
    <w:p>
      <w:pPr>
        <w:pStyle w:val="Heading2"/>
      </w:pPr>
      <w:r>
        <w:t>5月6日周二调仓计划</w:t>
      </w:r>
    </w:p>
    <w:p>
      <w:r>
        <w:t>卖出：</w:t>
      </w:r>
    </w:p>
    <w:p>
      <w:r>
        <w:t>• 588200 科创芯片ETF华夏（偏离度21%超限）</w:t>
      </w:r>
    </w:p>
    <w:p>
      <w:r>
        <w:t>• 159259 成长ETF易方达（偏离度18.8%超限）</w:t>
      </w:r>
    </w:p>
    <w:p/>
    <w:p>
      <w:r>
        <w:t>买入：</w:t>
      </w:r>
    </w:p>
    <w:p>
      <w:r>
        <w:t>• 159995 芯片ETF华夏（动量+16.9%）</w:t>
      </w:r>
    </w:p>
    <w:p>
      <w:r>
        <w:t>• 588000 科创50ETF华夏（动量+15.1%）</w:t>
      </w:r>
    </w:p>
    <w:p>
      <w:r>
        <w:t>• 159939 信息技术ETF广发（动量+13.3%）</w:t>
      </w:r>
    </w:p>
    <w:p>
      <w:r>
        <w:t>• 159732 消费电子ETF华夏（动量+13.2%）</w:t>
      </w:r>
    </w:p>
    <w:p>
      <w:r>
        <w:t>• 589600 科创综指ETF富国（动量+12.0%）</w:t>
      </w:r>
    </w:p>
    <w:p/>
    <w:p>
      <w:r>
        <w:t>持有：</w:t>
      </w:r>
    </w:p>
    <w:p>
      <w:r>
        <w:t>• 159819 人工智能ETF易方达（动量排名靠后但与Top1差距&lt;3%，暂不换）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