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820833P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WB56X21369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WE3M33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WE03X27679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WD21X32938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241511601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A13030601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C3</w:t>
            </w:r>
          </w:p>
        </w:tc>
        <w:tc>
          <w:tcPr>
            <w:tcW w:type="dxa" w:w="1440"/>
          </w:tcPr>
          <w:p>
            <w:r>
              <w:t>THERMOSTAT</w:t>
            </w:r>
          </w:p>
        </w:tc>
      </w:tr>
      <w:tr>
        <w:tc>
          <w:tcPr>
            <w:tcW w:type="dxa" w:w="1440"/>
          </w:tcPr>
          <w:p>
            <w:r>
              <w:t>A02169804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