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WB21X20252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4681EA2001T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4681EA2001T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WPW10166305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WPW10166305EXCR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383EEL9001M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