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30-3132-48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W11123941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W10873791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D511629P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RB170002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WB24X26398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