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Reliable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DE94-04313F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5304515844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242193212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4681EA2001T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W10837625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WH13X26534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W11168414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WPW10448876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WP8524471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WP8318084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