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WE12X27300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D517191P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6600JB1010A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316238201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WH12X22744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WH44X10288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WE4M416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205765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38174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RB150003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12112425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