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什么是bfc</w:t>
      </w:r>
    </w:p>
    <w:p>
      <w:pPr>
        <w:numPr>
          <w:numId w:val="0"/>
        </w:numPr>
      </w:pPr>
      <w:r>
        <w:drawing>
          <wp:inline distT="0" distB="0" distL="114300" distR="114300">
            <wp:extent cx="4907280" cy="1115695"/>
            <wp:effectExtent l="0" t="0" r="0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可以这样理解：bfc的目的是形成一个完全独立的空间，让空间中的子元素不会影响到外面的布局。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触发bfc的条件</w:t>
      </w:r>
    </w:p>
    <w:p>
      <w:pPr>
        <w:numPr>
          <w:numId w:val="0"/>
        </w:numPr>
      </w:pPr>
      <w:r>
        <w:drawing>
          <wp:inline distT="0" distB="0" distL="114300" distR="114300">
            <wp:extent cx="4594860" cy="195199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2应用场景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numId w:val="0"/>
        </w:numPr>
      </w:pPr>
      <w:r>
        <w:drawing>
          <wp:inline distT="0" distB="0" distL="114300" distR="114300">
            <wp:extent cx="4823460" cy="200977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若上述方法不用到时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给父级也添加浮动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4937760" cy="2148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给父级设置高度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861560" cy="1816735"/>
            <wp:effectExtent l="0" t="0" r="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在元素的最后添加一个标签清除浮动</w:t>
      </w:r>
    </w:p>
    <w:p>
      <w:pPr>
        <w:numPr>
          <w:numId w:val="0"/>
        </w:numPr>
      </w:pPr>
      <w:r>
        <w:drawing>
          <wp:inline distT="0" distB="0" distL="114300" distR="114300">
            <wp:extent cx="5227320" cy="18592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用伪类元素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633855"/>
            <wp:effectExtent l="0" t="0" r="1460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解决自适应布局的问题、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023360" cy="209423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右边进行自适应操作，左边标签浮动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当文字增多时</w:t>
      </w:r>
    </w:p>
    <w:p>
      <w:pPr>
        <w:numPr>
          <w:numId w:val="0"/>
        </w:numPr>
      </w:pPr>
      <w:r>
        <w:drawing>
          <wp:inline distT="0" distB="0" distL="114300" distR="114300">
            <wp:extent cx="4343400" cy="1950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所以触发bfc</w:t>
      </w:r>
    </w:p>
    <w:p>
      <w:pPr>
        <w:numPr>
          <w:numId w:val="0"/>
        </w:numPr>
      </w:pPr>
      <w:r>
        <w:drawing>
          <wp:inline distT="0" distB="0" distL="114300" distR="114300">
            <wp:extent cx="4488180" cy="1721485"/>
            <wp:effectExtent l="0" t="0" r="762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这种布局的其他方法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numPr>
          <w:numId w:val="0"/>
        </w:numPr>
      </w:pPr>
      <w:r>
        <w:drawing>
          <wp:inline distT="0" distB="0" distL="114300" distR="114300">
            <wp:extent cx="4351020" cy="1925955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numPr>
          <w:numId w:val="0"/>
        </w:numPr>
      </w:pPr>
      <w:r>
        <w:drawing>
          <wp:inline distT="0" distB="0" distL="114300" distR="114300">
            <wp:extent cx="4206240" cy="200914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numPr>
          <w:numId w:val="0"/>
        </w:numPr>
      </w:pPr>
      <w:r>
        <w:drawing>
          <wp:inline distT="0" distB="0" distL="114300" distR="114300">
            <wp:extent cx="4349115" cy="1937385"/>
            <wp:effectExtent l="0" t="0" r="952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解决垂直方向重合问题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（1）为其中一个子元素包裹一个父元素，在触发bfc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55820" cy="2328545"/>
            <wp:effectExtent l="0" t="0" r="762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（2）设置padding值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76700" cy="2384425"/>
            <wp:effectExtent l="0" t="0" r="762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405380"/>
            <wp:effectExtent l="0" t="0" r="1460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ACB48B"/>
    <w:multiLevelType w:val="singleLevel"/>
    <w:tmpl w:val="C4ACB48B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E488EE60"/>
    <w:multiLevelType w:val="singleLevel"/>
    <w:tmpl w:val="E488EE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16EA33"/>
    <w:multiLevelType w:val="singleLevel"/>
    <w:tmpl w:val="3716EA3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D3129"/>
    <w:rsid w:val="09C02417"/>
    <w:rsid w:val="14BF66CC"/>
    <w:rsid w:val="167C6917"/>
    <w:rsid w:val="18620057"/>
    <w:rsid w:val="187D2B14"/>
    <w:rsid w:val="18862A4D"/>
    <w:rsid w:val="20455A79"/>
    <w:rsid w:val="27CC145D"/>
    <w:rsid w:val="29E40F83"/>
    <w:rsid w:val="29F30643"/>
    <w:rsid w:val="2B166244"/>
    <w:rsid w:val="2C5266C2"/>
    <w:rsid w:val="40E97F06"/>
    <w:rsid w:val="570853E9"/>
    <w:rsid w:val="642770AE"/>
    <w:rsid w:val="660F636C"/>
    <w:rsid w:val="7124386A"/>
    <w:rsid w:val="788D37F7"/>
    <w:rsid w:val="7ADD390B"/>
    <w:rsid w:val="7D94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찬 란 한 꿈</cp:lastModifiedBy>
  <dcterms:modified xsi:type="dcterms:W3CDTF">2019-12-20T06:43:41Z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