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558"/>
          <w:sz w:val="64"/>
        </w:rPr>
        <w:t>SQK</w:t>
      </w:r>
    </w:p>
    <w:p>
      <w:pPr>
        <w:jc w:val="center"/>
      </w:pPr>
      <w:r>
        <w:rPr>
          <w:b/>
          <w:color w:val="0B3558"/>
          <w:sz w:val="48"/>
        </w:rPr>
        <w:t>Investor White Paper 2026</w:t>
      </w:r>
    </w:p>
    <w:p>
      <w:pPr>
        <w:jc w:val="center"/>
      </w:pPr>
      <w:r>
        <w:rPr>
          <w:color w:val="235374"/>
          <w:sz w:val="26"/>
        </w:rPr>
        <w:t>Validated Quantum-AI-HPC Platform for High-Trust Medical Imaging and Scientific Computing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4EF"/>
            <w:tcBorders>
              <w:top w:val="single" w:sz="8" w:color="9CC8B2"/>
              <w:left w:val="single" w:sz="8" w:color="9CC8B2"/>
              <w:bottom w:val="single" w:sz="8" w:color="9CC8B2"/>
              <w:right w:val="single" w:sz="8" w:color="9CC8B2"/>
            </w:tcBorders>
          </w:tcPr>
          <w:p>
            <w:r>
              <w:rPr>
                <w:b/>
                <w:color w:val="0B3558"/>
                <w:sz w:val="20"/>
              </w:rPr>
              <w:t>Positioning Statement</w:t>
            </w:r>
            <w:r>
              <w:rPr>
                <w:sz w:val="18"/>
              </w:rPr>
              <w:br/>
              <w:t>SQK builds validated, secure, and deployable advanced-computing solutions for high-trust industries. The company leads with QMedic as its focused commercial product for medical imaging workflows, supported by an integrated Quantum-AI-HPC platform for validation, orchestration, and physics-informed modeling.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184"/>
        <w:gridCol w:w="5184"/>
      </w:tblGrid>
      <w:tr>
        <w:tc>
          <w:tcPr>
            <w:tcW w:type="dxa" w:w="2448"/>
            <w:vAlign w:val="center"/>
            <w:shd w:fill="0B3558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352"/>
            <w:vAlign w:val="center"/>
            <w:shd w:fill="0B3558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2448"/>
            <w:vAlign w:val="center"/>
            <w:shd w:fill="F7FAFC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Company</w:t>
            </w:r>
          </w:p>
        </w:tc>
        <w:tc>
          <w:tcPr>
            <w:tcW w:type="dxa" w:w="8352"/>
            <w:vAlign w:val="center"/>
            <w:shd w:fill="F7FAFC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SQK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Primary Commercial Product</w:t>
            </w:r>
          </w:p>
        </w:tc>
        <w:tc>
          <w:tcPr>
            <w:tcW w:type="dxa" w:w="8352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QMedic</w:t>
            </w:r>
          </w:p>
        </w:tc>
      </w:tr>
      <w:tr>
        <w:tc>
          <w:tcPr>
            <w:tcW w:type="dxa" w:w="2448"/>
            <w:vAlign w:val="center"/>
            <w:shd w:fill="F7FAFC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Platform Foundation</w:t>
            </w:r>
          </w:p>
        </w:tc>
        <w:tc>
          <w:tcPr>
            <w:tcW w:type="dxa" w:w="8352"/>
            <w:vAlign w:val="center"/>
            <w:shd w:fill="F7FAFC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SQK Quantum-AI-HPC Platform: QTAU validation, Qukkos orchestration, QPINN physics-informed modeling, and SuperQuantumStation ecosystem access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Primary Investment Narrative</w:t>
            </w:r>
          </w:p>
        </w:tc>
        <w:tc>
          <w:tcPr>
            <w:tcW w:type="dxa" w:w="8352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Focused medical imaging wedge with reusable platform assets for high-trust industries</w:t>
            </w:r>
          </w:p>
        </w:tc>
      </w:tr>
      <w:tr>
        <w:tc>
          <w:tcPr>
            <w:tcW w:type="dxa" w:w="2448"/>
            <w:vAlign w:val="center"/>
            <w:shd w:fill="F7FAFC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Document Type</w:t>
            </w:r>
          </w:p>
        </w:tc>
        <w:tc>
          <w:tcPr>
            <w:tcW w:type="dxa" w:w="8352"/>
            <w:vAlign w:val="center"/>
            <w:shd w:fill="F7FAFC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Investor / Partner White Paper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Version / Date</w:t>
            </w:r>
          </w:p>
        </w:tc>
        <w:tc>
          <w:tcPr>
            <w:tcW w:type="dxa" w:w="8352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Public Release v1.0 / 2026-05-17</w:t>
            </w:r>
          </w:p>
        </w:tc>
      </w:tr>
    </w:tbl>
    <w:p/>
    <w:p>
      <w:pPr>
        <w:jc w:val="left"/>
      </w:pPr>
      <w:r>
        <w:rPr>
          <w:b/>
        </w:rPr>
        <w:t xml:space="preserve">Important Notice: </w:t>
      </w:r>
      <w:r>
        <w:t>This document is provided for investor and partner information only. It is not an offer to sell or a solicitation to buy securities. Forward-looking statements are subject to business, technical, regulatory, market, and financing risks. Medical imaging products and related workflows must be evaluated within the applicable regulatory and clinical-use framework before clinical deployment.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/>
        <w:ind w:left="216"/>
      </w:pPr>
      <w:r>
        <w:t>1. Executive Summary</w:t>
      </w:r>
    </w:p>
    <w:p>
      <w:pPr>
        <w:spacing w:after="40"/>
        <w:ind w:left="216"/>
      </w:pPr>
      <w:r>
        <w:t>2. Investment Highlights</w:t>
      </w:r>
    </w:p>
    <w:p>
      <w:pPr>
        <w:spacing w:after="40"/>
        <w:ind w:left="216"/>
      </w:pPr>
      <w:r>
        <w:t>3. Company Overview and Market Context</w:t>
      </w:r>
    </w:p>
    <w:p>
      <w:pPr>
        <w:spacing w:after="40"/>
        <w:ind w:left="216"/>
      </w:pPr>
      <w:r>
        <w:t>4. Product Focus: QMedic</w:t>
      </w:r>
    </w:p>
    <w:p>
      <w:pPr>
        <w:spacing w:after="40"/>
        <w:ind w:left="216"/>
      </w:pPr>
      <w:r>
        <w:t>5. Platform Foundation Behind QMedic</w:t>
      </w:r>
    </w:p>
    <w:p>
      <w:pPr>
        <w:pageBreakBefore/>
        <w:spacing w:after="40"/>
        <w:ind w:left="216"/>
      </w:pPr>
      <w:r>
        <w:t>6. Technology Architecture and Differentiation</w:t>
      </w:r>
    </w:p>
    <w:p>
      <w:pPr>
        <w:spacing w:after="40"/>
        <w:ind w:left="216"/>
      </w:pPr>
      <w:r>
        <w:t>7. Milestones and Validation Narrative</w:t>
      </w:r>
    </w:p>
    <w:p>
      <w:pPr>
        <w:spacing w:after="40"/>
        <w:ind w:left="216"/>
      </w:pPr>
      <w:r>
        <w:t>8. Business Model and Go-to-Market Strategy</w:t>
      </w:r>
    </w:p>
    <w:p>
      <w:pPr>
        <w:spacing w:after="40"/>
        <w:ind w:left="216"/>
      </w:pPr>
      <w:r>
        <w:t>9. Growth Roadmap and Use of Proceeds</w:t>
      </w:r>
    </w:p>
    <w:p>
      <w:pPr>
        <w:spacing w:after="40"/>
        <w:ind w:left="216"/>
      </w:pPr>
      <w:r>
        <w:t>10. Risk Management</w:t>
      </w:r>
    </w:p>
    <w:p>
      <w:pPr>
        <w:spacing w:after="40"/>
        <w:ind w:left="216"/>
      </w:pPr>
      <w:r>
        <w:t>11. Investor Thesis and Conclusion</w:t>
      </w:r>
    </w:p>
    <w:p>
      <w:pPr>
        <w:spacing w:after="40"/>
        <w:ind w:left="216"/>
      </w:pPr>
      <w:r>
        <w:t>Appendix A. One-Page Investor Summary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SQK is a Quantum-AI-HPC platform company focused on high-trust industries where reliability, reproducibility, explainability, and secure deployment are central to adoption. The company’s investor story is intentionally focused: QMedic is the lead commercial product, and the broader platform provides the trust, orchestration, and modeling capabilities that make QMedic scalable and defensible.</w:t>
      </w:r>
    </w:p>
    <w:p>
      <w:r>
        <w:t>QMedic applies SQK’s technology stack to medical imaging workflows such as CT/MRI-oriented reconstruction, refinement, comparison, and quality governance. This gives investors a clear market entry point instead of a confusing list of unrelated products.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4EF"/>
            <w:tcBorders>
              <w:top w:val="single" w:sz="8" w:color="9CC8B2"/>
              <w:left w:val="single" w:sz="8" w:color="9CC8B2"/>
              <w:bottom w:val="single" w:sz="8" w:color="9CC8B2"/>
              <w:right w:val="single" w:sz="8" w:color="9CC8B2"/>
            </w:tcBorders>
          </w:tcPr>
          <w:p>
            <w:r>
              <w:rPr>
                <w:b/>
                <w:color w:val="0B3558"/>
                <w:sz w:val="20"/>
              </w:rPr>
              <w:t>Core Message</w:t>
            </w:r>
            <w:r>
              <w:rPr>
                <w:sz w:val="18"/>
              </w:rPr>
              <w:br/>
              <w:t>SQK is not presenting five separate products. SQK is presenting one focused commercial wedge, QMedic, backed by a reusable Quantum-AI-HPC platform that can expand into scientific computing, industrial optimization, and secure medical AI.</w:t>
            </w:r>
          </w:p>
        </w:tc>
      </w:tr>
    </w:tbl>
    <w:p/>
    <w:p>
      <w:pPr>
        <w:pStyle w:val="Heading1"/>
      </w:pPr>
      <w:r>
        <w:t>2. Investment Highlights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456"/>
        <w:gridCol w:w="3456"/>
        <w:gridCol w:w="3456"/>
      </w:tblGrid>
      <w:tr>
        <w:tc>
          <w:tcPr>
            <w:tcW w:type="dxa" w:w="1872"/>
            <w:vAlign w:val="center"/>
            <w:shd w:fill="0B3558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6"/>
              </w:rPr>
              <w:t>Theme</w:t>
            </w:r>
          </w:p>
        </w:tc>
        <w:tc>
          <w:tcPr>
            <w:tcW w:type="dxa" w:w="4320"/>
            <w:vAlign w:val="center"/>
            <w:shd w:fill="0B3558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6"/>
              </w:rPr>
              <w:t>Investor Message</w:t>
            </w:r>
          </w:p>
        </w:tc>
        <w:tc>
          <w:tcPr>
            <w:tcW w:type="dxa" w:w="4896"/>
            <w:vAlign w:val="center"/>
            <w:shd w:fill="0B3558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6"/>
              </w:rPr>
              <w:t>Business Implication</w:t>
            </w:r>
          </w:p>
        </w:tc>
      </w:tr>
      <w:tr>
        <w:tc>
          <w:tcPr>
            <w:tcW w:type="dxa" w:w="1872"/>
            <w:vAlign w:val="center"/>
            <w:shd w:fill="F7FAFC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Focused wedge</w:t>
            </w:r>
          </w:p>
        </w:tc>
        <w:tc>
          <w:tcPr>
            <w:tcW w:type="dxa" w:w="4320"/>
            <w:vAlign w:val="center"/>
            <w:shd w:fill="F7FAFC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QMedic is the lead commercial story for investors.</w:t>
            </w:r>
          </w:p>
        </w:tc>
        <w:tc>
          <w:tcPr>
            <w:tcW w:type="dxa" w:w="4896"/>
            <w:vAlign w:val="center"/>
            <w:shd w:fill="F7FAFC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A concrete workflow in high-trust medical imaging creates a clearer path to pilots, SaaS/API packaging, and enterprise licensing.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Reusable platform</w:t>
            </w:r>
          </w:p>
        </w:tc>
        <w:tc>
          <w:tcPr>
            <w:tcW w:type="dxa" w:w="432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QTAU, Qukkos, QPINN, and SuperQuantumStation are presented as enabling platform assets, not competing product narratives.</w:t>
            </w:r>
          </w:p>
        </w:tc>
        <w:tc>
          <w:tcPr>
            <w:tcW w:type="dxa" w:w="4896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The platform supports lower marginal expansion cost and stronger technical leverage across future verticals.</w:t>
            </w:r>
          </w:p>
        </w:tc>
      </w:tr>
      <w:tr>
        <w:tc>
          <w:tcPr>
            <w:tcW w:type="dxa" w:w="1872"/>
            <w:vAlign w:val="center"/>
            <w:shd w:fill="F7FAFC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Trust layer</w:t>
            </w:r>
          </w:p>
        </w:tc>
        <w:tc>
          <w:tcPr>
            <w:tcW w:type="dxa" w:w="4320"/>
            <w:vAlign w:val="center"/>
            <w:shd w:fill="F7FAFC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QTAU converts advanced-computing claims into measurable validation, benchmark, and quality-governance evidence.</w:t>
            </w:r>
          </w:p>
        </w:tc>
        <w:tc>
          <w:tcPr>
            <w:tcW w:type="dxa" w:w="4896"/>
            <w:vAlign w:val="center"/>
            <w:shd w:fill="F7FAFC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Trust evidence helps customers evaluate adoption before large-scale deployment.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Hybrid execution</w:t>
            </w:r>
          </w:p>
        </w:tc>
        <w:tc>
          <w:tcPr>
            <w:tcW w:type="dxa" w:w="432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Qukkos supports quantum-classical-HPC workflow orchestration as enterprise workloads become more hybrid.</w:t>
            </w:r>
          </w:p>
        </w:tc>
        <w:tc>
          <w:tcPr>
            <w:tcW w:type="dxa" w:w="4896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This creates future enterprise infrastructure and integration opportunities.</w:t>
            </w:r>
          </w:p>
        </w:tc>
      </w:tr>
      <w:tr>
        <w:tc>
          <w:tcPr>
            <w:tcW w:type="dxa" w:w="1872"/>
            <w:vAlign w:val="center"/>
            <w:shd w:fill="F7FAFC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Physics-informed modeling</w:t>
            </w:r>
          </w:p>
        </w:tc>
        <w:tc>
          <w:tcPr>
            <w:tcW w:type="dxa" w:w="4320"/>
            <w:vAlign w:val="center"/>
            <w:shd w:fill="F7FAFC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QPINN supports domains where black-box AI is insufficient and physics constraints improve confidence.</w:t>
            </w:r>
          </w:p>
        </w:tc>
        <w:tc>
          <w:tcPr>
            <w:tcW w:type="dxa" w:w="4896"/>
            <w:vAlign w:val="center"/>
            <w:shd w:fill="F7FAFC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This extends the platform into scientific and industrial optimization.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Ecosystem access</w:t>
            </w:r>
          </w:p>
        </w:tc>
        <w:tc>
          <w:tcPr>
            <w:tcW w:type="dxa" w:w="432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SuperQuantumStation supports brand visibility, user engagement, education, and developer access.</w:t>
            </w:r>
          </w:p>
        </w:tc>
        <w:tc>
          <w:tcPr>
            <w:tcW w:type="dxa" w:w="4896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It strengthens awareness and partner access without distracting from QMedic as the commercial wedge.</w:t>
            </w:r>
          </w:p>
        </w:tc>
      </w:tr>
    </w:tbl>
    <w:p/>
    <w:p>
      <w:pPr>
        <w:pStyle w:val="Heading1"/>
      </w:pPr>
      <w:r>
        <w:t>3. Company Overview and Market Context</w:t>
      </w:r>
    </w:p>
    <w:p>
      <w:pPr>
        <w:pStyle w:val="Heading2"/>
      </w:pPr>
      <w:r>
        <w:t>3.1 Company identity</w:t>
      </w:r>
    </w:p>
    <w:p>
      <w:r>
        <w:t>SQK develops deployable advanced-computing solutions by combining quantum methods, AI, HPC, physics-informed modeling, and secure AI governance. The company focuses on practical deployment, validation, and commercialization rather than speculative claims of near-term quantum advantage.</w:t>
      </w:r>
    </w:p>
    <w:p>
      <w:pPr>
        <w:pStyle w:val="Heading2"/>
      </w:pPr>
      <w:r>
        <w:t>3.2 Why now</w:t>
      </w:r>
    </w:p>
    <w:p>
      <w:pPr>
        <w:pStyle w:val="ListBullet"/>
      </w:pPr>
      <w:r>
        <w:t>Medical AI is moving from experimental model development to controlled deployment, increasing the need for quality governance and auditable workflows.</w:t>
      </w:r>
    </w:p>
    <w:p>
      <w:pPr>
        <w:pStyle w:val="ListBullet"/>
      </w:pPr>
      <w:r>
        <w:t>Quantum and HPC ecosystems are converging through hybrid workloads, creating demand for orchestration and benchmarking layers.</w:t>
      </w:r>
    </w:p>
    <w:p>
      <w:pPr>
        <w:pStyle w:val="ListBullet"/>
      </w:pPr>
      <w:r>
        <w:t>Enterprise AI adoption is becoming more security-conscious, creating opportunities for secure AI infrastructure and PQC-aware roadmaps.</w:t>
      </w:r>
    </w:p>
    <w:p>
      <w:pPr>
        <w:pStyle w:val="ListBullet"/>
      </w:pPr>
      <w:r>
        <w:t>Regulated and technically demanding industries prefer measurable reliability, reproducibility, and audit trails over broad claims of accuracy or future advantage.</w:t>
      </w:r>
    </w:p>
    <w:p>
      <w:pPr>
        <w:pStyle w:val="Heading1"/>
      </w:pPr>
      <w:r>
        <w:t>4. Product Focus: QMedic</w:t>
      </w:r>
    </w:p>
    <w:p>
      <w:r>
        <w:t>QMedic is SQK’s lead commercial product. It translates the broader Quantum-AI-HPC platform into a concrete, high-trust use case: medical imaging reconstruction, refinement, comparison, and quality governance.</w:t>
      </w:r>
    </w:p>
    <w:p>
      <w:pPr>
        <w:pStyle w:val="Heading2"/>
      </w:pPr>
      <w:r>
        <w:t>4.1 Customer problem</w:t>
      </w:r>
    </w:p>
    <w:p>
      <w:pPr>
        <w:pStyle w:val="ListBullet"/>
      </w:pPr>
      <w:r>
        <w:t>Medical imaging workflows require reliable reconstruction and refinement, not visually plausible but unverified outputs.</w:t>
      </w:r>
    </w:p>
    <w:p>
      <w:pPr>
        <w:pStyle w:val="ListBullet"/>
      </w:pPr>
      <w:r>
        <w:t>AI-based imaging tools face trust barriers including hallucination risk, reproducibility questions, and workflow integration challenges.</w:t>
      </w:r>
    </w:p>
    <w:p>
      <w:pPr>
        <w:pStyle w:val="ListBullet"/>
      </w:pPr>
      <w:r>
        <w:t>Hospitals, research institutions, and medical AI companies need measurable quality metrics, side-by-side comparison, and auditable deployment pathways.</w:t>
      </w:r>
    </w:p>
    <w:p>
      <w:pPr>
        <w:pStyle w:val="Heading2"/>
      </w:pPr>
      <w:r>
        <w:t>4.2 SQK response</w:t>
      </w:r>
    </w:p>
    <w:p>
      <w:pPr>
        <w:pStyle w:val="ListBullet"/>
      </w:pPr>
      <w:r>
        <w:t>Physics-guided reconstruction and refinement workflows for CT/MRI-oriented use cases.</w:t>
      </w:r>
    </w:p>
    <w:p>
      <w:pPr>
        <w:pStyle w:val="ListBullet"/>
      </w:pPr>
      <w:r>
        <w:t>Comparison workflow across original, reconstructed, refined, and benchmarked outputs.</w:t>
      </w:r>
    </w:p>
    <w:p>
      <w:pPr>
        <w:pStyle w:val="ListBullet"/>
      </w:pPr>
      <w:r>
        <w:t>Quality metrics and reporting aligned with QTAU validation methods.</w:t>
      </w:r>
    </w:p>
    <w:p>
      <w:pPr>
        <w:pStyle w:val="ListBullet"/>
      </w:pPr>
      <w:r>
        <w:t>SaaS/API and enterprise deployment pathways for research, validation, and partner integration.</w:t>
      </w:r>
    </w:p>
    <w:p>
      <w:pPr>
        <w:pStyle w:val="Heading2"/>
      </w:pPr>
      <w:r>
        <w:t>4.3 Commercialization thesis</w:t>
      </w:r>
    </w:p>
    <w:p>
      <w:r>
        <w:t>QMedic provides the initial market wedge that demonstrates SQK’s ability to operationalize high-trust advanced computing in a demanding domain. The product can begin in research and validation settings, expand into paid pilots and API integrations, and evolve toward enterprise deployments as regulatory, clinical, and data-governance requirements are addressed.</w:t>
      </w:r>
    </w:p>
    <w:p>
      <w:pPr>
        <w:pStyle w:val="Heading1"/>
      </w:pPr>
      <w:r>
        <w:t>5. Platform Foundation Behind QMedic</w:t>
      </w:r>
    </w:p>
    <w:p>
      <w:r>
        <w:t>To avoid investor confusion, SQK’s portfolio is presented as one product-led platform. QMedic is the commercial product. The other named assets are platform capabilities that support QMedic and later expansion.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160"/>
            <w:vAlign w:val="center"/>
            <w:shd w:fill="0B3558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6"/>
              </w:rPr>
              <w:t>Role in Investor Story</w:t>
            </w:r>
          </w:p>
        </w:tc>
        <w:tc>
          <w:tcPr>
            <w:tcW w:type="dxa" w:w="1728"/>
            <w:vAlign w:val="center"/>
            <w:shd w:fill="0B3558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6"/>
              </w:rPr>
              <w:t>SQK Asset</w:t>
            </w:r>
          </w:p>
        </w:tc>
        <w:tc>
          <w:tcPr>
            <w:tcW w:type="dxa" w:w="4464"/>
            <w:vAlign w:val="center"/>
            <w:shd w:fill="0B3558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6"/>
              </w:rPr>
              <w:t>Function</w:t>
            </w:r>
          </w:p>
        </w:tc>
        <w:tc>
          <w:tcPr>
            <w:tcW w:type="dxa" w:w="2880"/>
            <w:vAlign w:val="center"/>
            <w:shd w:fill="0B3558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6"/>
              </w:rPr>
              <w:t>Investor Value</w:t>
            </w:r>
          </w:p>
        </w:tc>
      </w:tr>
      <w:tr>
        <w:tc>
          <w:tcPr>
            <w:tcW w:type="dxa" w:w="2160"/>
            <w:vAlign w:val="center"/>
            <w:shd w:fill="F7FAFC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Commercial Product</w:t>
            </w:r>
          </w:p>
        </w:tc>
        <w:tc>
          <w:tcPr>
            <w:tcW w:type="dxa" w:w="1728"/>
            <w:vAlign w:val="center"/>
            <w:shd w:fill="F7FAFC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QMedic</w:t>
            </w:r>
          </w:p>
        </w:tc>
        <w:tc>
          <w:tcPr>
            <w:tcW w:type="dxa" w:w="4464"/>
            <w:vAlign w:val="center"/>
            <w:shd w:fill="F7FAFC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Medical imaging reconstruction, refinement, comparison, and quality governance.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Near-term monetization and customer validation.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Validation Capability</w:t>
            </w:r>
          </w:p>
        </w:tc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QTAU</w:t>
            </w:r>
          </w:p>
        </w:tc>
        <w:tc>
          <w:tcPr>
            <w:tcW w:type="dxa" w:w="4464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Benchmarking, reproducibility, quality metrics, scorecards, and reporting.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Adoption trust layer and evidence engine.</w:t>
            </w:r>
          </w:p>
        </w:tc>
      </w:tr>
      <w:tr>
        <w:tc>
          <w:tcPr>
            <w:tcW w:type="dxa" w:w="2160"/>
            <w:vAlign w:val="center"/>
            <w:shd w:fill="F7FAFC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Execution Capability</w:t>
            </w:r>
          </w:p>
        </w:tc>
        <w:tc>
          <w:tcPr>
            <w:tcW w:type="dxa" w:w="1728"/>
            <w:vAlign w:val="center"/>
            <w:shd w:fill="F7FAFC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Qukkos</w:t>
            </w:r>
          </w:p>
        </w:tc>
        <w:tc>
          <w:tcPr>
            <w:tcW w:type="dxa" w:w="4464"/>
            <w:vAlign w:val="center"/>
            <w:shd w:fill="F7FAFC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Hybrid workflow orchestration across classical, quantum, and HPC resources.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Enterprise workflow infrastructure.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Modeling Capability</w:t>
            </w:r>
          </w:p>
        </w:tc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QPINN</w:t>
            </w:r>
          </w:p>
        </w:tc>
        <w:tc>
          <w:tcPr>
            <w:tcW w:type="dxa" w:w="4464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Physics-informed modeling and optimization for scientific and industrial workloads.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Differentiated technical depth beyond black-box AI.</w:t>
            </w:r>
          </w:p>
        </w:tc>
      </w:tr>
      <w:tr>
        <w:tc>
          <w:tcPr>
            <w:tcW w:type="dxa" w:w="2160"/>
            <w:vAlign w:val="center"/>
            <w:shd w:fill="F7FAFC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Ecosystem Capability</w:t>
            </w:r>
          </w:p>
        </w:tc>
        <w:tc>
          <w:tcPr>
            <w:tcW w:type="dxa" w:w="1728"/>
            <w:vAlign w:val="center"/>
            <w:shd w:fill="F7FAFC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SuperQuantumStation</w:t>
            </w:r>
          </w:p>
        </w:tc>
        <w:tc>
          <w:tcPr>
            <w:tcW w:type="dxa" w:w="4464"/>
            <w:vAlign w:val="center"/>
            <w:shd w:fill="F7FAFC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User access, education, developer touchpoints, and partner community entry.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Brand visibility and ecosystem access.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3CD"/>
            <w:tcBorders>
              <w:top w:val="single" w:sz="8" w:color="E0B84F"/>
              <w:left w:val="single" w:sz="8" w:color="E0B84F"/>
              <w:bottom w:val="single" w:sz="8" w:color="E0B84F"/>
              <w:right w:val="single" w:sz="8" w:color="E0B84F"/>
            </w:tcBorders>
          </w:tcPr>
          <w:p>
            <w:r>
              <w:t>Portfolio Clarity Principle</w:t>
              <w:br/>
              <w:t>SQK leads with QMedic. QTAU, Qukkos, QPINN, and SuperQuantumStation are platform foundations and expansion paths, not equally prioritized standalone product lines.</w:t>
            </w:r>
          </w:p>
        </w:tc>
      </w:tr>
    </w:tbl>
    <w:p/>
    <w:p>
      <w:pPr>
        <w:pStyle w:val="Heading1"/>
        <w:pageBreakBefore/>
      </w:pPr>
      <w:r>
        <w:t>6. Technology Architecture and Differentiation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456"/>
        <w:gridCol w:w="3456"/>
        <w:gridCol w:w="3456"/>
      </w:tblGrid>
      <w:tr>
        <w:tc>
          <w:tcPr>
            <w:tcW w:type="dxa" w:w="2592"/>
            <w:vAlign w:val="center"/>
            <w:shd w:fill="0B3558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6"/>
              </w:rPr>
              <w:t>Architecture Layer</w:t>
            </w:r>
          </w:p>
        </w:tc>
        <w:tc>
          <w:tcPr>
            <w:tcW w:type="dxa" w:w="2160"/>
            <w:vAlign w:val="center"/>
            <w:shd w:fill="0B3558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6"/>
              </w:rPr>
              <w:t>SQK Asset</w:t>
            </w:r>
          </w:p>
        </w:tc>
        <w:tc>
          <w:tcPr>
            <w:tcW w:type="dxa" w:w="6048"/>
            <w:vAlign w:val="center"/>
            <w:shd w:fill="0B3558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6"/>
              </w:rPr>
              <w:t>Primary Function</w:t>
            </w:r>
          </w:p>
        </w:tc>
      </w:tr>
      <w:tr>
        <w:tc>
          <w:tcPr>
            <w:tcW w:type="dxa" w:w="2592"/>
            <w:vAlign w:val="center"/>
            <w:shd w:fill="F7FAFC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User / ecosystem</w:t>
            </w:r>
          </w:p>
        </w:tc>
        <w:tc>
          <w:tcPr>
            <w:tcW w:type="dxa" w:w="2160"/>
            <w:vAlign w:val="center"/>
            <w:shd w:fill="F7FAFC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SuperQuantumStation</w:t>
            </w:r>
          </w:p>
        </w:tc>
        <w:tc>
          <w:tcPr>
            <w:tcW w:type="dxa" w:w="6048"/>
            <w:vAlign w:val="center"/>
            <w:shd w:fill="F7FAFC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User access, education, developer and partner touchpoints.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Application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QMedic</w:t>
            </w:r>
          </w:p>
        </w:tc>
        <w:tc>
          <w:tcPr>
            <w:tcW w:type="dxa" w:w="6048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Medical imaging workflow, reconstruction/refinement, comparison, and quality metrics.</w:t>
            </w:r>
          </w:p>
        </w:tc>
      </w:tr>
      <w:tr>
        <w:tc>
          <w:tcPr>
            <w:tcW w:type="dxa" w:w="2592"/>
            <w:vAlign w:val="center"/>
            <w:shd w:fill="F7FAFC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Modeling / intelligence</w:t>
            </w:r>
          </w:p>
        </w:tc>
        <w:tc>
          <w:tcPr>
            <w:tcW w:type="dxa" w:w="2160"/>
            <w:vAlign w:val="center"/>
            <w:shd w:fill="F7FAFC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QPINN</w:t>
            </w:r>
          </w:p>
        </w:tc>
        <w:tc>
          <w:tcPr>
            <w:tcW w:type="dxa" w:w="6048"/>
            <w:vAlign w:val="center"/>
            <w:shd w:fill="F7FAFC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Physics-informed modeling, simulation-informed learning, and optimization.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Execution / orchestration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Qukkos</w:t>
            </w:r>
          </w:p>
        </w:tc>
        <w:tc>
          <w:tcPr>
            <w:tcW w:type="dxa" w:w="6048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Hybrid workflow scheduling and execution across classical, quantum, and HPC resources.</w:t>
            </w:r>
          </w:p>
        </w:tc>
      </w:tr>
      <w:tr>
        <w:tc>
          <w:tcPr>
            <w:tcW w:type="dxa" w:w="2592"/>
            <w:vAlign w:val="center"/>
            <w:shd w:fill="F7FAFC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Validation / trust</w:t>
            </w:r>
          </w:p>
        </w:tc>
        <w:tc>
          <w:tcPr>
            <w:tcW w:type="dxa" w:w="2160"/>
            <w:vAlign w:val="center"/>
            <w:shd w:fill="F7FAFC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QTAU</w:t>
            </w:r>
          </w:p>
        </w:tc>
        <w:tc>
          <w:tcPr>
            <w:tcW w:type="dxa" w:w="6048"/>
            <w:vAlign w:val="center"/>
            <w:shd w:fill="F7FAFC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Benchmarking, reproducibility, quality governance, scorecards, and reporting.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Infrastructure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Cloud / on-prem / HPC / quantum access</w:t>
            </w:r>
          </w:p>
        </w:tc>
        <w:tc>
          <w:tcPr>
            <w:tcW w:type="dxa" w:w="6048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Flexible deployment and integration foundation.</w:t>
            </w:r>
          </w:p>
        </w:tc>
      </w:tr>
    </w:tbl>
    <w:p/>
    <w:p>
      <w:pPr>
        <w:pStyle w:val="Heading2"/>
      </w:pPr>
      <w:r>
        <w:t>6.1 Differentiation</w:t>
      </w:r>
    </w:p>
    <w:p>
      <w:pPr>
        <w:pStyle w:val="ListBullet"/>
      </w:pPr>
      <w:r>
        <w:t>Stack integration: SQK connects validation, orchestration, modeling, and domain deployment instead of selling an isolated model.</w:t>
      </w:r>
    </w:p>
    <w:p>
      <w:pPr>
        <w:pStyle w:val="ListBullet"/>
      </w:pPr>
      <w:r>
        <w:t>High-trust focus: SQK targets industries where auditability, reproducibility, and quality governance influence purchase decisions.</w:t>
      </w:r>
    </w:p>
    <w:p>
      <w:pPr>
        <w:pStyle w:val="ListBullet"/>
      </w:pPr>
      <w:r>
        <w:t>Commercial wedge plus platform upside: QMedic leads the near-term story, while QTAU/Qukkos/QPINN increase long-term platform value.</w:t>
      </w:r>
    </w:p>
    <w:p>
      <w:pPr>
        <w:pStyle w:val="ListBullet"/>
      </w:pPr>
      <w:r>
        <w:t>Deployment flexibility: The platform can support SaaS, API, on-premise, and partner integration models.</w:t>
      </w:r>
    </w:p>
    <w:p>
      <w:pPr>
        <w:pStyle w:val="Heading1"/>
      </w:pPr>
      <w:r>
        <w:t>7. Milestones and Validation Narrative</w:t>
      </w:r>
    </w:p>
    <w:p>
      <w:r>
        <w:t>SQK’s milestones support a credible investor narrative when presented with precise, documented language. The following milestones summarize SQK’s public-facing proof points and strategic validation themes.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456"/>
        <w:gridCol w:w="3456"/>
        <w:gridCol w:w="3456"/>
      </w:tblGrid>
      <w:tr>
        <w:tc>
          <w:tcPr>
            <w:tcW w:type="dxa" w:w="1296"/>
            <w:vAlign w:val="center"/>
            <w:shd w:fill="0B3558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6"/>
              </w:rPr>
              <w:t>Year</w:t>
            </w:r>
          </w:p>
        </w:tc>
        <w:tc>
          <w:tcPr>
            <w:tcW w:type="dxa" w:w="6048"/>
            <w:vAlign w:val="center"/>
            <w:shd w:fill="0B3558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6"/>
              </w:rPr>
              <w:t>Milestone</w:t>
            </w:r>
          </w:p>
        </w:tc>
        <w:tc>
          <w:tcPr>
            <w:tcW w:type="dxa" w:w="3600"/>
            <w:vAlign w:val="center"/>
            <w:shd w:fill="0B3558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6"/>
              </w:rPr>
              <w:t>Strategic Meaning</w:t>
            </w:r>
          </w:p>
        </w:tc>
      </w:tr>
      <w:tr>
        <w:tc>
          <w:tcPr>
            <w:tcW w:type="dxa" w:w="1296"/>
            <w:vAlign w:val="center"/>
            <w:shd w:fill="F7FAFC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2024</w:t>
            </w:r>
          </w:p>
        </w:tc>
        <w:tc>
          <w:tcPr>
            <w:tcW w:type="dxa" w:w="6048"/>
            <w:vAlign w:val="center"/>
            <w:shd w:fill="F7FAFC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CES award recognition for SuperQuantumStation</w:t>
            </w:r>
          </w:p>
        </w:tc>
        <w:tc>
          <w:tcPr>
            <w:tcW w:type="dxa" w:w="3600"/>
            <w:vAlign w:val="center"/>
            <w:shd w:fill="F7FAFC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Brand and ecosystem visibility.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2025</w:t>
            </w:r>
          </w:p>
        </w:tc>
        <w:tc>
          <w:tcPr>
            <w:tcW w:type="dxa" w:w="6048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QWIND Eureka international R&amp;D project</w:t>
            </w:r>
          </w:p>
        </w:tc>
        <w:tc>
          <w:tcPr>
            <w:tcW w:type="dxa" w:w="360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International R&amp;D execution and cross-border collaboration capability.</w:t>
            </w:r>
          </w:p>
        </w:tc>
      </w:tr>
      <w:tr>
        <w:tc>
          <w:tcPr>
            <w:tcW w:type="dxa" w:w="1296"/>
            <w:vAlign w:val="center"/>
            <w:shd w:fill="F7FAFC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2026</w:t>
            </w:r>
          </w:p>
        </w:tc>
        <w:tc>
          <w:tcPr>
            <w:tcW w:type="dxa" w:w="6048"/>
            <w:vAlign w:val="center"/>
            <w:shd w:fill="F7FAFC"/>
          </w:tcPr>
          <w:p>
            <w:r>
              <w:t>Strategic investment and ecosystem engagement with named investors and partners</w:t>
            </w:r>
          </w:p>
        </w:tc>
        <w:tc>
          <w:tcPr>
            <w:tcW w:type="dxa" w:w="3600"/>
            <w:vAlign w:val="center"/>
            <w:shd w:fill="F7FAFC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External validation and growth-capital narrative.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2026</w:t>
            </w:r>
          </w:p>
        </w:tc>
        <w:tc>
          <w:tcPr>
            <w:tcW w:type="dxa" w:w="6048"/>
            <w:vAlign w:val="center"/>
          </w:tcPr>
          <w:p>
            <w:r>
              <w:t>IBM Quantum and MathWorks HPC collaboration activities</w:t>
            </w:r>
          </w:p>
        </w:tc>
        <w:tc>
          <w:tcPr>
            <w:tcW w:type="dxa" w:w="360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Global ecosystem linkage and technical credibility.</w:t>
            </w:r>
          </w:p>
        </w:tc>
      </w:tr>
      <w:tr>
        <w:tc>
          <w:tcPr>
            <w:tcW w:type="dxa" w:w="1296"/>
            <w:vAlign w:val="center"/>
            <w:shd w:fill="F7FAFC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Multi-year</w:t>
            </w:r>
          </w:p>
        </w:tc>
        <w:tc>
          <w:tcPr>
            <w:tcW w:type="dxa" w:w="6048"/>
            <w:vAlign w:val="center"/>
            <w:shd w:fill="F7FAFC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KISTI quantum-HPC joint R&amp;D and technology transfer activities</w:t>
            </w:r>
          </w:p>
        </w:tc>
        <w:tc>
          <w:tcPr>
            <w:tcW w:type="dxa" w:w="3600"/>
            <w:vAlign w:val="center"/>
            <w:shd w:fill="F7FAFC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Institutional R&amp;D proof point and technology maturity signal.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Project-based</w:t>
            </w:r>
          </w:p>
        </w:tc>
        <w:tc>
          <w:tcPr>
            <w:tcW w:type="dxa" w:w="6048"/>
            <w:vAlign w:val="center"/>
          </w:tcPr>
          <w:p>
            <w:r>
              <w:t>SNU Bundang Hospital CT/MRI-related project activities</w:t>
            </w:r>
          </w:p>
        </w:tc>
        <w:tc>
          <w:tcPr>
            <w:tcW w:type="dxa" w:w="360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Clinical/research workflow credibility.</w:t>
            </w:r>
          </w:p>
        </w:tc>
      </w:tr>
      <w:tr>
        <w:tc>
          <w:tcPr>
            <w:tcW w:type="dxa" w:w="1296"/>
            <w:vAlign w:val="center"/>
            <w:shd w:fill="F7FAFC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2026</w:t>
            </w:r>
          </w:p>
        </w:tc>
        <w:tc>
          <w:tcPr>
            <w:tcW w:type="dxa" w:w="6048"/>
            <w:vAlign w:val="center"/>
            <w:shd w:fill="F7FAFC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IT4H project related to medical LLM and PQC architecture</w:t>
            </w:r>
          </w:p>
        </w:tc>
        <w:tc>
          <w:tcPr>
            <w:tcW w:type="dxa" w:w="3600"/>
            <w:vAlign w:val="center"/>
            <w:shd w:fill="F7FAFC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Expansion toward secure medical AI.</w:t>
            </w:r>
          </w:p>
        </w:tc>
      </w:tr>
    </w:tbl>
    <w:p/>
    <w:p>
      <w:pPr>
        <w:pStyle w:val="Heading1"/>
      </w:pPr>
      <w:r>
        <w:t>8. Business Model and Go-to-Market Strategy</w:t>
      </w:r>
    </w:p>
    <w:p>
      <w:pPr>
        <w:pStyle w:val="Heading2"/>
      </w:pPr>
      <w:r>
        <w:t>8.1 Revenue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1440"/>
            <w:vAlign w:val="center"/>
            <w:shd w:fill="0B3558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6"/>
              </w:rPr>
              <w:t>Asset</w:t>
            </w:r>
          </w:p>
        </w:tc>
        <w:tc>
          <w:tcPr>
            <w:tcW w:type="dxa" w:w="3312"/>
            <w:vAlign w:val="center"/>
            <w:shd w:fill="0B3558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6"/>
              </w:rPr>
              <w:t>Initial Revenue Motion</w:t>
            </w:r>
          </w:p>
        </w:tc>
        <w:tc>
          <w:tcPr>
            <w:tcW w:type="dxa" w:w="3312"/>
            <w:vAlign w:val="center"/>
            <w:shd w:fill="0B3558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6"/>
              </w:rPr>
              <w:t>Expansion Motion</w:t>
            </w:r>
          </w:p>
        </w:tc>
        <w:tc>
          <w:tcPr>
            <w:tcW w:type="dxa" w:w="2880"/>
            <w:vAlign w:val="center"/>
            <w:shd w:fill="0B3558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6"/>
              </w:rPr>
              <w:t>Key Buyer / Partner</w:t>
            </w:r>
          </w:p>
        </w:tc>
      </w:tr>
      <w:tr>
        <w:tc>
          <w:tcPr>
            <w:tcW w:type="dxa" w:w="1440"/>
            <w:vAlign w:val="center"/>
            <w:shd w:fill="F7FAFC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QMedic</w:t>
            </w:r>
          </w:p>
        </w:tc>
        <w:tc>
          <w:tcPr>
            <w:tcW w:type="dxa" w:w="3312"/>
            <w:vAlign w:val="center"/>
            <w:shd w:fill="F7FAFC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Research SaaS, paid pilots, API access, project-based deployments.</w:t>
            </w:r>
          </w:p>
        </w:tc>
        <w:tc>
          <w:tcPr>
            <w:tcW w:type="dxa" w:w="3312"/>
            <w:vAlign w:val="center"/>
            <w:shd w:fill="F7FAFC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Hospital/enterprise license, OEM imaging partner integration, regulated workflow modules.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Hospitals, medical AI companies, imaging research groups, PACS/OHIF ecosystem partners.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QTAU</w:t>
            </w:r>
          </w:p>
        </w:tc>
        <w:tc>
          <w:tcPr>
            <w:tcW w:type="dxa" w:w="3312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Benchmarking reports, validation service, enterprise PoC support.</w:t>
            </w:r>
          </w:p>
        </w:tc>
        <w:tc>
          <w:tcPr>
            <w:tcW w:type="dxa" w:w="3312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Annual license, audit/report module, platform validation subscription.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Enterprises adopting quantum/AI/HPC workflows, research institutes, cloud/HPC partners.</w:t>
            </w:r>
          </w:p>
        </w:tc>
      </w:tr>
      <w:tr>
        <w:tc>
          <w:tcPr>
            <w:tcW w:type="dxa" w:w="1440"/>
            <w:vAlign w:val="center"/>
            <w:shd w:fill="F7FAFC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Qukkos</w:t>
            </w:r>
          </w:p>
        </w:tc>
        <w:tc>
          <w:tcPr>
            <w:tcW w:type="dxa" w:w="3312"/>
            <w:vAlign w:val="center"/>
            <w:shd w:fill="F7FAFC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Hybrid workflow integration projects.</w:t>
            </w:r>
          </w:p>
        </w:tc>
        <w:tc>
          <w:tcPr>
            <w:tcW w:type="dxa" w:w="3312"/>
            <w:vAlign w:val="center"/>
            <w:shd w:fill="F7FAFC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Enterprise workflow engine and managed orchestration.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HPC centers, quantum ecosystem partners, enterprise R&amp;D teams.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QPINN</w:t>
            </w:r>
          </w:p>
        </w:tc>
        <w:tc>
          <w:tcPr>
            <w:tcW w:type="dxa" w:w="3312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Specialized R&amp;D and modeling projects.</w:t>
            </w:r>
          </w:p>
        </w:tc>
        <w:tc>
          <w:tcPr>
            <w:tcW w:type="dxa" w:w="3312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Domain-specific optimization licenses and simulation modules.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Industrial companies, scientific computing teams, energy/manufacturing partners.</w:t>
            </w:r>
          </w:p>
        </w:tc>
      </w:tr>
      <w:tr>
        <w:tc>
          <w:tcPr>
            <w:tcW w:type="dxa" w:w="1440"/>
            <w:vAlign w:val="center"/>
            <w:shd w:fill="F7FAFC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SuperQuantumStation</w:t>
            </w:r>
          </w:p>
        </w:tc>
        <w:tc>
          <w:tcPr>
            <w:tcW w:type="dxa" w:w="3312"/>
            <w:vAlign w:val="center"/>
            <w:shd w:fill="F7FAFC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Subscription, education, developer access.</w:t>
            </w:r>
          </w:p>
        </w:tc>
        <w:tc>
          <w:tcPr>
            <w:tcW w:type="dxa" w:w="3312"/>
            <w:vAlign w:val="center"/>
            <w:shd w:fill="F7FAFC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Ecosystem programs, partner marketplace, user acquisition funnel.</w:t>
            </w:r>
          </w:p>
        </w:tc>
        <w:tc>
          <w:tcPr>
            <w:tcW w:type="dxa" w:w="2880"/>
            <w:vAlign w:val="center"/>
            <w:shd w:fill="F7FAFC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Students, developers, institutions, partner communities.</w:t>
            </w:r>
          </w:p>
        </w:tc>
      </w:tr>
    </w:tbl>
    <w:p/>
    <w:p>
      <w:pPr>
        <w:pStyle w:val="Heading2"/>
      </w:pPr>
      <w:r>
        <w:t>8.2 Go-to-market sequence</w:t>
      </w:r>
    </w:p>
    <w:p>
      <w:pPr>
        <w:pStyle w:val="ListNumber"/>
      </w:pPr>
      <w:r>
        <w:t>Lead with QMedic: use one clearly defined medical imaging product to open commercial conversations.</w:t>
      </w:r>
    </w:p>
    <w:p>
      <w:pPr>
        <w:pStyle w:val="ListNumber"/>
      </w:pPr>
      <w:r>
        <w:t>Attach QTAU to QMedic: package quality metrics, benchmark reports, and evidence generation as part of the trust layer.</w:t>
      </w:r>
    </w:p>
    <w:p>
      <w:pPr>
        <w:pStyle w:val="ListNumber"/>
      </w:pPr>
      <w:r>
        <w:t>Convert project credibility into paid pilots: target hospitals, research labs, medical AI companies, and HPC/quantum partners.</w:t>
      </w:r>
    </w:p>
    <w:p>
      <w:pPr>
        <w:pStyle w:val="ListNumber"/>
      </w:pPr>
      <w:r>
        <w:t>Package repeatable modules: dashboards, APIs, benchmark reports, connectors, and deployment playbooks.</w:t>
      </w:r>
    </w:p>
    <w:p>
      <w:pPr>
        <w:pStyle w:val="ListNumber"/>
      </w:pPr>
      <w:r>
        <w:t>Expand into enterprise licensing: offer SaaS/API/on-premise packages with recurring support and integration contracts.</w:t>
      </w:r>
    </w:p>
    <w:p>
      <w:pPr>
        <w:pStyle w:val="ListNumber"/>
      </w:pPr>
      <w:r>
        <w:t>Use SuperQuantumStation as an ecosystem and partner channel rather than the primary enterprise sales story.</w:t>
      </w:r>
    </w:p>
    <w:p>
      <w:pPr>
        <w:pStyle w:val="Heading1"/>
      </w:pPr>
      <w:r>
        <w:t>9. Growth Roadmap and Use of Proceeds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1584"/>
            <w:vAlign w:val="center"/>
            <w:shd w:fill="0B3558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6"/>
              </w:rPr>
              <w:t>Timeframe</w:t>
            </w:r>
          </w:p>
        </w:tc>
        <w:tc>
          <w:tcPr>
            <w:tcW w:type="dxa" w:w="3456"/>
            <w:vAlign w:val="center"/>
            <w:shd w:fill="0B3558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6"/>
              </w:rPr>
              <w:t>Commercial Focus</w:t>
            </w:r>
          </w:p>
        </w:tc>
        <w:tc>
          <w:tcPr>
            <w:tcW w:type="dxa" w:w="3600"/>
            <w:vAlign w:val="center"/>
            <w:shd w:fill="0B3558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6"/>
              </w:rPr>
              <w:t>Product Focus</w:t>
            </w:r>
          </w:p>
        </w:tc>
        <w:tc>
          <w:tcPr>
            <w:tcW w:type="dxa" w:w="2304"/>
            <w:vAlign w:val="center"/>
            <w:shd w:fill="0B3558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6"/>
              </w:rPr>
              <w:t>Investor KPI</w:t>
            </w:r>
          </w:p>
        </w:tc>
      </w:tr>
      <w:tr>
        <w:tc>
          <w:tcPr>
            <w:tcW w:type="dxa" w:w="1584"/>
            <w:vAlign w:val="center"/>
            <w:shd w:fill="F7FAFC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0-12 months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QMedic pilot pipeline, investor website, collateral, case studies.</w:t>
            </w:r>
          </w:p>
        </w:tc>
        <w:tc>
          <w:tcPr>
            <w:tcW w:type="dxa" w:w="3600"/>
            <w:vAlign w:val="center"/>
            <w:shd w:fill="F7FAFC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QMedic MVP/PoC packaging, QTAU benchmark reports, integrated demo assets.</w:t>
            </w:r>
          </w:p>
        </w:tc>
        <w:tc>
          <w:tcPr>
            <w:tcW w:type="dxa" w:w="2304"/>
            <w:vAlign w:val="center"/>
            <w:shd w:fill="F7FAFC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Pilot pipeline, LOIs/MOUs, demo conversion, benchmark reports.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12-24 months</w:t>
            </w:r>
          </w:p>
        </w:tc>
        <w:tc>
          <w:tcPr>
            <w:tcW w:type="dxa" w:w="3456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Convert pilots into paid recurring contracts and API usage.</w:t>
            </w:r>
          </w:p>
        </w:tc>
        <w:tc>
          <w:tcPr>
            <w:tcW w:type="dxa" w:w="360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QMedic SaaS/API, QTAU enterprise validation, Qukkos workflow integration.</w:t>
            </w:r>
          </w:p>
        </w:tc>
        <w:tc>
          <w:tcPr>
            <w:tcW w:type="dxa" w:w="2304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Contracted revenue, active deployments, partner integrations.</w:t>
            </w:r>
          </w:p>
        </w:tc>
      </w:tr>
      <w:tr>
        <w:tc>
          <w:tcPr>
            <w:tcW w:type="dxa" w:w="1584"/>
            <w:vAlign w:val="center"/>
            <w:shd w:fill="F7FAFC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24-36 months</w:t>
            </w:r>
          </w:p>
        </w:tc>
        <w:tc>
          <w:tcPr>
            <w:tcW w:type="dxa" w:w="3456"/>
            <w:vAlign w:val="center"/>
            <w:shd w:fill="F7FAFC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Scale platform revenue and expand globally.</w:t>
            </w:r>
          </w:p>
        </w:tc>
        <w:tc>
          <w:tcPr>
            <w:tcW w:type="dxa" w:w="3600"/>
            <w:vAlign w:val="center"/>
            <w:shd w:fill="F7FAFC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Cross-solution integration and secure medical AI stack with PQC.</w:t>
            </w:r>
          </w:p>
        </w:tc>
        <w:tc>
          <w:tcPr>
            <w:tcW w:type="dxa" w:w="2304"/>
            <w:vAlign w:val="center"/>
            <w:shd w:fill="F7FAFC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Enterprise licenses, OEM relationships, gross margin, renewal rate.</w:t>
            </w:r>
          </w:p>
        </w:tc>
      </w:tr>
    </w:tbl>
    <w:p/>
    <w:p>
      <w:pPr>
        <w:pStyle w:val="Heading2"/>
      </w:pPr>
      <w:r>
        <w:t>9.1 Use of proceeds categories</w:t>
      </w:r>
    </w:p>
    <w:p>
      <w:pPr>
        <w:pStyle w:val="ListBullet"/>
      </w:pPr>
      <w:r>
        <w:t>Productization: QMedic SaaS/API hardening, QTAU report automation, integration connectors, and deployment tooling.</w:t>
      </w:r>
    </w:p>
    <w:p>
      <w:pPr>
        <w:pStyle w:val="ListBullet"/>
      </w:pPr>
      <w:r>
        <w:t>Validation: data partnerships, pilot support, benchmark studies, documentation, and quality-management preparation.</w:t>
      </w:r>
    </w:p>
    <w:p>
      <w:pPr>
        <w:pStyle w:val="ListBullet"/>
      </w:pPr>
      <w:r>
        <w:t>Engineering: platform architecture, security, MLOps/HPC integration, scalable backend, and user-facing dashboards.</w:t>
      </w:r>
    </w:p>
    <w:p>
      <w:pPr>
        <w:pStyle w:val="ListBullet"/>
      </w:pPr>
      <w:r>
        <w:t>Commercialization: enterprise sales, partner development, investor relations, and market-entry materials.</w:t>
      </w:r>
    </w:p>
    <w:p>
      <w:pPr>
        <w:pStyle w:val="ListBullet"/>
      </w:pPr>
      <w:r>
        <w:t>Governance and compliance: privacy controls, security reviews, legal review, claim substantiation, and regulatory pathway preparation where applicable.</w:t>
      </w:r>
    </w:p>
    <w:p>
      <w:pPr>
        <w:pStyle w:val="Heading1"/>
      </w:pPr>
      <w:r>
        <w:t>10. Risk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456"/>
        <w:gridCol w:w="3456"/>
        <w:gridCol w:w="3456"/>
      </w:tblGrid>
      <w:tr>
        <w:tc>
          <w:tcPr>
            <w:tcW w:type="dxa" w:w="2160"/>
            <w:vAlign w:val="center"/>
            <w:shd w:fill="0B3558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6"/>
              </w:rPr>
              <w:t>Risk</w:t>
            </w:r>
          </w:p>
        </w:tc>
        <w:tc>
          <w:tcPr>
            <w:tcW w:type="dxa" w:w="3600"/>
            <w:vAlign w:val="center"/>
            <w:shd w:fill="0B3558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6"/>
              </w:rPr>
              <w:t>Investor Concern</w:t>
            </w:r>
          </w:p>
        </w:tc>
        <w:tc>
          <w:tcPr>
            <w:tcW w:type="dxa" w:w="5040"/>
            <w:vAlign w:val="center"/>
            <w:shd w:fill="0B3558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6"/>
              </w:rPr>
              <w:t>Mitigation</w:t>
            </w:r>
          </w:p>
        </w:tc>
      </w:tr>
      <w:tr>
        <w:tc>
          <w:tcPr>
            <w:tcW w:type="dxa" w:w="2160"/>
            <w:vAlign w:val="center"/>
            <w:shd w:fill="F7FAFC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Portfolio complexity</w:t>
            </w:r>
          </w:p>
        </w:tc>
        <w:tc>
          <w:tcPr>
            <w:tcW w:type="dxa" w:w="3600"/>
            <w:vAlign w:val="center"/>
            <w:shd w:fill="F7FAFC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Too many product names may dilute focus.</w:t>
            </w:r>
          </w:p>
        </w:tc>
        <w:tc>
          <w:tcPr>
            <w:tcW w:type="dxa" w:w="5040"/>
            <w:vAlign w:val="center"/>
            <w:shd w:fill="F7FAFC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Lead with QMedic and present all other assets as platform capabilities.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Quantum hype risk</w:t>
            </w:r>
          </w:p>
        </w:tc>
        <w:tc>
          <w:tcPr>
            <w:tcW w:type="dxa" w:w="360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Investors may distrust broad quantum claims.</w:t>
            </w:r>
          </w:p>
        </w:tc>
        <w:tc>
          <w:tcPr>
            <w:tcW w:type="dxa" w:w="504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Use benchmark-specific language and avoid unsupported advantage claims.</w:t>
            </w:r>
          </w:p>
        </w:tc>
      </w:tr>
      <w:tr>
        <w:tc>
          <w:tcPr>
            <w:tcW w:type="dxa" w:w="2160"/>
            <w:vAlign w:val="center"/>
            <w:shd w:fill="F7FAFC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Clinical/regulatory risk</w:t>
            </w:r>
          </w:p>
        </w:tc>
        <w:tc>
          <w:tcPr>
            <w:tcW w:type="dxa" w:w="3600"/>
            <w:vAlign w:val="center"/>
            <w:shd w:fill="F7FAFC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Medical claims require careful wording and validation.</w:t>
            </w:r>
          </w:p>
        </w:tc>
        <w:tc>
          <w:tcPr>
            <w:tcW w:type="dxa" w:w="5040"/>
            <w:vAlign w:val="center"/>
            <w:shd w:fill="F7FAFC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Position QMedic for research, validation, workflow, and quality governance unless regulatory approvals exist.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Commercialization risk</w:t>
            </w:r>
          </w:p>
        </w:tc>
        <w:tc>
          <w:tcPr>
            <w:tcW w:type="dxa" w:w="360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Project revenue may not convert into recurring revenue.</w:t>
            </w:r>
          </w:p>
        </w:tc>
        <w:tc>
          <w:tcPr>
            <w:tcW w:type="dxa" w:w="504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Package repeatable SaaS/API/license modules and track pilot-to-contract conversion.</w:t>
            </w:r>
          </w:p>
        </w:tc>
      </w:tr>
      <w:tr>
        <w:tc>
          <w:tcPr>
            <w:tcW w:type="dxa" w:w="2160"/>
            <w:vAlign w:val="center"/>
            <w:shd w:fill="F7FAFC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Partner disclosure risk</w:t>
            </w:r>
          </w:p>
        </w:tc>
        <w:tc>
          <w:tcPr>
            <w:tcW w:type="dxa" w:w="3600"/>
            <w:vAlign w:val="center"/>
            <w:shd w:fill="F7FAFC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Named partners may require approval.</w:t>
            </w:r>
          </w:p>
        </w:tc>
        <w:tc>
          <w:tcPr>
            <w:tcW w:type="dxa" w:w="5040"/>
            <w:vAlign w:val="center"/>
            <w:shd w:fill="F7FAFC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Use partner names only where public disclosure or written permission is available.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Execution risk</w:t>
            </w:r>
          </w:p>
        </w:tc>
        <w:tc>
          <w:tcPr>
            <w:tcW w:type="dxa" w:w="360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Deep-tech productization is resource-intensive.</w:t>
            </w:r>
          </w:p>
        </w:tc>
        <w:tc>
          <w:tcPr>
            <w:tcW w:type="dxa" w:w="5040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Prioritize product hardening, deployment playbooks, and measurable KPIs.</w:t>
            </w:r>
          </w:p>
        </w:tc>
      </w:tr>
    </w:tbl>
    <w:p/>
    <w:p>
      <w:pPr>
        <w:pStyle w:val="Heading1"/>
      </w:pPr>
      <w:r>
        <w:t>11. Investor Thesis and Conclusion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4EF"/>
            <w:tcBorders>
              <w:top w:val="single" w:sz="8" w:color="9CC8B2"/>
              <w:left w:val="single" w:sz="8" w:color="9CC8B2"/>
              <w:bottom w:val="single" w:sz="8" w:color="9CC8B2"/>
              <w:right w:val="single" w:sz="8" w:color="9CC8B2"/>
            </w:tcBorders>
          </w:tcPr>
          <w:p>
            <w:r>
              <w:rPr>
                <w:b/>
                <w:color w:val="0B3558"/>
                <w:sz w:val="20"/>
              </w:rPr>
              <w:t>Investor Thesis</w:t>
            </w:r>
            <w:r>
              <w:rPr>
                <w:sz w:val="18"/>
              </w:rPr>
              <w:br/>
              <w:t>SQK is building a validated Quantum-AI-HPC platform for high-trust industries, with QMedic as the near-term commercial wedge and QTAU/Qukkos/QPINN as reusable platform capabilities that compound over time.</w:t>
            </w:r>
          </w:p>
        </w:tc>
      </w:tr>
    </w:tbl>
    <w:p/>
    <w:p>
      <w:r>
        <w:t>The strongest investor message is disciplined and product-led: SQK is not simply a quantum startup and not a collection of unrelated tools. It is a high-trust advanced-computing platform company with a focused medical imaging entry point and reusable technical assets that can expand into scientific computing, industrial optimization, hybrid HPC, and secure medical AI.</w:t>
      </w:r>
    </w:p>
    <w:p>
      <w:pPr>
        <w:pStyle w:val="ListBullet"/>
      </w:pPr>
      <w:r>
        <w:t>QMedic gives SQK a concrete product narrative and commercial wedge.</w:t>
      </w:r>
    </w:p>
    <w:p>
      <w:pPr>
        <w:pStyle w:val="ListBullet"/>
      </w:pPr>
      <w:r>
        <w:t>QTAU provides evidence, benchmarking, and trust required for adoption.</w:t>
      </w:r>
    </w:p>
    <w:p>
      <w:pPr>
        <w:pStyle w:val="ListBullet"/>
      </w:pPr>
      <w:r>
        <w:t>Qukkos and QPINN add platform depth for hybrid execution and physics-informed modeling.</w:t>
      </w:r>
    </w:p>
    <w:p>
      <w:pPr>
        <w:pStyle w:val="ListBullet"/>
      </w:pPr>
      <w:r>
        <w:t>SuperQuantumStation supports ecosystem access and brand visibility without distracting from enterprise sales focus.</w:t>
      </w:r>
    </w:p>
    <w:p>
      <w:r>
        <w:br w:type="page"/>
      </w:r>
    </w:p>
    <w:p>
      <w:pPr>
        <w:pStyle w:val="Heading1"/>
      </w:pPr>
      <w:r>
        <w:t>Appendix A. One-Page Investor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184"/>
        <w:gridCol w:w="5184"/>
      </w:tblGrid>
      <w:tr>
        <w:tc>
          <w:tcPr>
            <w:tcW w:type="dxa" w:w="2592"/>
            <w:vAlign w:val="center"/>
            <w:shd w:fill="0B3558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8208"/>
            <w:vAlign w:val="center"/>
            <w:shd w:fill="0B3558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6"/>
              </w:rPr>
              <w:t>Investor-Ready Message</w:t>
            </w:r>
          </w:p>
        </w:tc>
      </w:tr>
      <w:tr>
        <w:tc>
          <w:tcPr>
            <w:tcW w:type="dxa" w:w="2592"/>
            <w:vAlign w:val="center"/>
            <w:shd w:fill="F7FAFC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Company</w:t>
            </w:r>
          </w:p>
        </w:tc>
        <w:tc>
          <w:tcPr>
            <w:tcW w:type="dxa" w:w="8208"/>
            <w:vAlign w:val="center"/>
            <w:shd w:fill="F7FAFC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SQK is a Quantum-AI-HPC platform company building validated, secure, and deployable advanced-computing solutions for high-trust industries.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Commercial wedge</w:t>
            </w:r>
          </w:p>
        </w:tc>
        <w:tc>
          <w:tcPr>
            <w:tcW w:type="dxa" w:w="8208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QMedic: CT/MRI-oriented reconstruction, refinement, comparison, and quality-governance platform.</w:t>
            </w:r>
          </w:p>
        </w:tc>
      </w:tr>
      <w:tr>
        <w:tc>
          <w:tcPr>
            <w:tcW w:type="dxa" w:w="2592"/>
            <w:vAlign w:val="center"/>
            <w:shd w:fill="F7FAFC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Platform foundation</w:t>
            </w:r>
          </w:p>
        </w:tc>
        <w:tc>
          <w:tcPr>
            <w:tcW w:type="dxa" w:w="8208"/>
            <w:vAlign w:val="center"/>
            <w:shd w:fill="F7FAFC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QTAU validates; Qukkos orchestrates; QPINN models; SuperQuantumStation creates ecosystem access.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Why now</w:t>
            </w:r>
          </w:p>
        </w:tc>
        <w:tc>
          <w:tcPr>
            <w:tcW w:type="dxa" w:w="8208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Medical AI, HPC, and quantum-adjacent workflows need reliability, reproducibility, security, and governance to move from research to operations.</w:t>
            </w:r>
          </w:p>
        </w:tc>
      </w:tr>
      <w:tr>
        <w:tc>
          <w:tcPr>
            <w:tcW w:type="dxa" w:w="2592"/>
            <w:vAlign w:val="center"/>
            <w:shd w:fill="F7FAFC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Business model</w:t>
            </w:r>
          </w:p>
        </w:tc>
        <w:tc>
          <w:tcPr>
            <w:tcW w:type="dxa" w:w="8208"/>
            <w:vAlign w:val="center"/>
            <w:shd w:fill="F7FAFC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SaaS, API, enterprise license, benchmarking service, R&amp;D-to-product conversion, and OEM/platform partnerships.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Moat</w:t>
            </w:r>
          </w:p>
        </w:tc>
        <w:tc>
          <w:tcPr>
            <w:tcW w:type="dxa" w:w="8208"/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Connected platform assets, trust layer, validation workflows, medical imaging wedge, and partner ecosystem.</w:t>
            </w:r>
          </w:p>
        </w:tc>
      </w:tr>
      <w:tr>
        <w:tc>
          <w:tcPr>
            <w:tcW w:type="dxa" w:w="2592"/>
            <w:vAlign w:val="center"/>
            <w:shd w:fill="F7FAFC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Immediate priorities</w:t>
            </w:r>
          </w:p>
        </w:tc>
        <w:tc>
          <w:tcPr>
            <w:tcW w:type="dxa" w:w="8208"/>
            <w:vAlign w:val="center"/>
            <w:shd w:fill="F7FAFC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QMedic pilots, QTAU benchmark reports, partner case studies, integrated demo, investor data room, and claim verification.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6876"/>
        <w:sz w:val="16"/>
      </w:rPr>
      <w:t xml:space="preserve">SQK Investor White Paper 2026 | Public Release | Page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color w:val="222B35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algun Gothic"/>
      <w:b/>
      <w:bCs/>
      <w:color w:val="0B355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algun Gothic"/>
      <w:b/>
      <w:bCs/>
      <w:color w:val="164E7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algun Gothic"/>
      <w:b/>
      <w:bCs/>
      <w:color w:val="164E72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algun Gothic"/>
      <w:b/>
      <w:color w:val="0B355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SQK Investor White Paper 2026</dc:title>
  <dc:subject>Public release investor white paper focused on QMedic and the SQK Quantum-AI-HPC Platform</dc:subject>
  <dc:creator>SQK</dc:creator>
  <cp:keywords>SQK, QMedic, Quantum-AI-HPC, QTAU, Qukkos, QPINN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