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xLoop Digital · Blog handoff for dev/CMS</w:t>
      </w:r>
    </w:p>
    <w:p>
      <w:pPr>
        <w:pStyle w:val="Title"/>
      </w:pPr>
      <w:r>
        <w:t xml:space="preserve">Is Your Data Ready for AI? A 10-Point Checklist for Enterprise Leaders</w:t>
      </w:r>
    </w:p>
    <w:p>
      <w:pPr>
        <w:spacing w:after="240"/>
      </w:pPr>
      <w:r>
        <w:t xml:space="preserve">Plan row B2 · Track B Data &amp; AI foundations · MOFU · Author: Irfan Shaikh, Senior Solution Architect</w:t>
      </w:r>
    </w:p>
    <w:p>
      <w:pPr>
        <w:pStyle w:val="Heading1"/>
      </w:pPr>
      <w:r>
        <w:t xml:space="preserve">Before publishing</w:t>
      </w:r>
    </w:p>
    <w:p>
      <w:pPr>
        <w:pStyle w:val="ListParagraph"/>
        <w:numPr>
          <w:ilvl w:val="0"/>
          <w:numId w:val="1"/>
        </w:numPr>
      </w:pPr>
      <w:r>
        <w:t xml:space="preserve">Replace </w:t>
      </w:r>
      <w:r>
        <w:rPr>
          <w:b/>
          <w:bCs/>
        </w:rPr>
        <w:t xml:space="preserve">[ASSESSMENT URL]</w:t>
      </w:r>
      <w:r>
        <w:t xml:space="preserve"> (shown in red) with the live Data &amp; AI Readiness Assessment URL. It appears in both CTA blocks.</w:t>
      </w:r>
    </w:p>
    <w:p>
      <w:pPr>
        <w:pStyle w:val="ListParagraph"/>
        <w:numPr>
          <w:ilvl w:val="0"/>
          <w:numId w:val="1"/>
        </w:numPr>
      </w:pPr>
      <w:r>
        <w:t xml:space="preserve">Set the publish date, and use it for </w:t>
      </w:r>
      <w:r>
        <w:rPr>
          <w:b/>
          <w:bCs/>
        </w:rPr>
        <w:t xml:space="preserve">datePublished</w:t>
      </w:r>
      <w:r>
        <w:t xml:space="preserve"> and </w:t>
      </w:r>
      <w:r>
        <w:rPr>
          <w:b/>
          <w:bCs/>
        </w:rPr>
        <w:t xml:space="preserve">dateModified</w:t>
      </w:r>
      <w:r>
        <w:t xml:space="preserve"> in the schema.</w:t>
      </w:r>
    </w:p>
    <w:p>
      <w:pPr>
        <w:pStyle w:val="ListParagraph"/>
        <w:numPr>
          <w:ilvl w:val="0"/>
          <w:numId w:val="1"/>
        </w:numPr>
      </w:pPr>
      <w:r>
        <w:t xml:space="preserve">Use the H1 below as the page H1. Do not repeat it inside the body.</w:t>
      </w:r>
    </w:p>
    <w:p>
      <w:pPr>
        <w:pStyle w:val="ListParagraph"/>
        <w:numPr>
          <w:ilvl w:val="0"/>
          <w:numId w:val="1"/>
        </w:numPr>
      </w:pPr>
      <w:r>
        <w:t xml:space="preserve">Render the two CTA blocks as styled CTA bands with a button; the labels in brackets are notes for you, not page copy.</w:t>
      </w:r>
    </w:p>
    <w:p>
      <w:pPr>
        <w:pStyle w:val="ListParagraph"/>
        <w:numPr>
          <w:ilvl w:val="0"/>
          <w:numId w:val="1"/>
        </w:numPr>
      </w:pPr>
      <w:r>
        <w:t xml:space="preserve">Show the author byline with the bio line, plus the published and last updated dates.</w:t>
      </w:r>
    </w:p>
    <w:p>
      <w:pPr>
        <w:pStyle w:val="ListParagraph"/>
        <w:numPr>
          <w:ilvl w:val="0"/>
          <w:numId w:val="1"/>
        </w:numPr>
      </w:pPr>
      <w:r>
        <w:t xml:space="preserve">The CMS currently appends "| xLoop Digital" twice to page titles. Please check this page renders the suffix once.</w:t>
      </w:r>
    </w:p>
    <w:p>
      <w:pPr>
        <w:pStyle w:val="Heading1"/>
      </w:pPr>
      <w:r>
        <w:t xml:space="preserve">SEO pack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pct" w:w="1400"/>
            <w:shd w:fill="E8EEF4" w:color="auto" w:val="clear"/>
            <w:tcMar>
              <w:top w:type="dxa" w:w="60"/>
              <w:left w:type="dxa" w:w="100"/>
              <w:bottom w:type="dxa" w:w="60"/>
              <w:right w:type="dxa" w:w="100"/>
            </w:tcMar>
          </w:tcPr>
          <w:p>
            <w:r>
              <w:rPr>
                <w:b/>
                <w:bCs/>
              </w:rPr>
              <w:t xml:space="preserve">Field</w:t>
            </w:r>
          </w:p>
        </w:tc>
        <w:tc>
          <w:tcPr>
            <w:tcW w:type="pct" w:w="3600"/>
            <w:shd w:fill="E8EEF4" w:color="auto" w:val="clear"/>
            <w:tcMar>
              <w:top w:type="dxa" w:w="60"/>
              <w:left w:type="dxa" w:w="100"/>
              <w:bottom w:type="dxa" w:w="60"/>
              <w:right w:type="dxa" w:w="100"/>
            </w:tcMar>
          </w:tcPr>
          <w:p>
            <w:r>
              <w:rPr>
                <w:b/>
                <w:bCs/>
              </w:rPr>
              <w:t xml:space="preserve">Value</w:t>
            </w:r>
          </w:p>
        </w:tc>
      </w:tr>
      <w:tr>
        <w:trPr>
          <w:cantSplit/>
          <w:tblHeader w:val="off"/>
        </w:trPr>
        <w:tc>
          <w:tcPr>
            <w:tcW w:type="pct" w:w="1400"/>
            <w:tcMar>
              <w:top w:type="dxa" w:w="60"/>
              <w:left w:type="dxa" w:w="100"/>
              <w:bottom w:type="dxa" w:w="60"/>
              <w:right w:type="dxa" w:w="100"/>
            </w:tcMar>
          </w:tcPr>
          <w:p>
            <w:r>
              <w:t xml:space="preserve">Title tag</w:t>
            </w:r>
          </w:p>
        </w:tc>
        <w:tc>
          <w:tcPr>
            <w:tcW w:type="pct" w:w="3600"/>
            <w:tcMar>
              <w:top w:type="dxa" w:w="60"/>
              <w:left w:type="dxa" w:w="100"/>
              <w:bottom w:type="dxa" w:w="60"/>
              <w:right w:type="dxa" w:w="100"/>
            </w:tcMar>
          </w:tcPr>
          <w:p>
            <w:r>
              <w:t xml:space="preserve">Is Your Data Ready for AI? A 10-Point Checklist (47 chars; the CMS appends the brand)</w:t>
            </w:r>
          </w:p>
        </w:tc>
      </w:tr>
      <w:tr>
        <w:trPr>
          <w:cantSplit/>
          <w:tblHeader w:val="off"/>
        </w:trPr>
        <w:tc>
          <w:tcPr>
            <w:tcW w:type="pct" w:w="1400"/>
            <w:tcMar>
              <w:top w:type="dxa" w:w="60"/>
              <w:left w:type="dxa" w:w="100"/>
              <w:bottom w:type="dxa" w:w="60"/>
              <w:right w:type="dxa" w:w="100"/>
            </w:tcMar>
          </w:tcPr>
          <w:p>
            <w:r>
              <w:t xml:space="preserve">Meta description</w:t>
            </w:r>
          </w:p>
        </w:tc>
        <w:tc>
          <w:tcPr>
            <w:tcW w:type="pct" w:w="3600"/>
            <w:tcMar>
              <w:top w:type="dxa" w:w="60"/>
              <w:left w:type="dxa" w:w="100"/>
              <w:bottom w:type="dxa" w:w="60"/>
              <w:right w:type="dxa" w:w="100"/>
            </w:tcMar>
          </w:tcPr>
          <w:p>
            <w:r>
              <w:t xml:space="preserve">Is your data ready for AI? Score yourself on 10 checks, from sources and definitions to ownership, access and freshness, before you pick a model or vendor. (155 chars)</w:t>
            </w:r>
          </w:p>
        </w:tc>
      </w:tr>
      <w:tr>
        <w:trPr>
          <w:cantSplit/>
          <w:tblHeader w:val="off"/>
        </w:trPr>
        <w:tc>
          <w:tcPr>
            <w:tcW w:type="pct" w:w="1400"/>
            <w:tcMar>
              <w:top w:type="dxa" w:w="60"/>
              <w:left w:type="dxa" w:w="100"/>
              <w:bottom w:type="dxa" w:w="60"/>
              <w:right w:type="dxa" w:w="100"/>
            </w:tcMar>
          </w:tcPr>
          <w:p>
            <w:r>
              <w:t xml:space="preserve">Slug</w:t>
            </w:r>
          </w:p>
        </w:tc>
        <w:tc>
          <w:tcPr>
            <w:tcW w:type="pct" w:w="3600"/>
            <w:tcMar>
              <w:top w:type="dxa" w:w="60"/>
              <w:left w:type="dxa" w:w="100"/>
              <w:bottom w:type="dxa" w:w="60"/>
              <w:right w:type="dxa" w:w="100"/>
            </w:tcMar>
          </w:tcPr>
          <w:p>
            <w:r>
              <w:t xml:space="preserve">/insights/blogs/is-your-data-ready-for-ai-checklist</w:t>
            </w:r>
          </w:p>
        </w:tc>
      </w:tr>
      <w:tr>
        <w:trPr>
          <w:cantSplit/>
          <w:tblHeader w:val="off"/>
        </w:trPr>
        <w:tc>
          <w:tcPr>
            <w:tcW w:type="pct" w:w="1400"/>
            <w:tcMar>
              <w:top w:type="dxa" w:w="60"/>
              <w:left w:type="dxa" w:w="100"/>
              <w:bottom w:type="dxa" w:w="60"/>
              <w:right w:type="dxa" w:w="100"/>
            </w:tcMar>
          </w:tcPr>
          <w:p>
            <w:r>
              <w:t xml:space="preserve">H1</w:t>
            </w:r>
          </w:p>
        </w:tc>
        <w:tc>
          <w:tcPr>
            <w:tcW w:type="pct" w:w="3600"/>
            <w:tcMar>
              <w:top w:type="dxa" w:w="60"/>
              <w:left w:type="dxa" w:w="100"/>
              <w:bottom w:type="dxa" w:w="60"/>
              <w:right w:type="dxa" w:w="100"/>
            </w:tcMar>
          </w:tcPr>
          <w:p>
            <w:r>
              <w:t xml:space="preserve">Is Your Data Ready for AI? A 10-Point Checklist for Enterprise Leaders</w:t>
            </w:r>
          </w:p>
        </w:tc>
      </w:tr>
      <w:tr>
        <w:trPr>
          <w:cantSplit/>
          <w:tblHeader w:val="off"/>
        </w:trPr>
        <w:tc>
          <w:tcPr>
            <w:tcW w:type="pct" w:w="1400"/>
            <w:tcMar>
              <w:top w:type="dxa" w:w="60"/>
              <w:left w:type="dxa" w:w="100"/>
              <w:bottom w:type="dxa" w:w="60"/>
              <w:right w:type="dxa" w:w="100"/>
            </w:tcMar>
          </w:tcPr>
          <w:p>
            <w:r>
              <w:t xml:space="preserve">Primary keyword</w:t>
            </w:r>
          </w:p>
        </w:tc>
        <w:tc>
          <w:tcPr>
            <w:tcW w:type="pct" w:w="3600"/>
            <w:tcMar>
              <w:top w:type="dxa" w:w="60"/>
              <w:left w:type="dxa" w:w="100"/>
              <w:bottom w:type="dxa" w:w="60"/>
              <w:right w:type="dxa" w:w="100"/>
            </w:tcMar>
          </w:tcPr>
          <w:p>
            <w:r>
              <w:t xml:space="preserve">is my data ready for ai</w:t>
            </w:r>
          </w:p>
        </w:tc>
      </w:tr>
      <w:tr>
        <w:trPr>
          <w:cantSplit/>
          <w:tblHeader w:val="off"/>
        </w:trPr>
        <w:tc>
          <w:tcPr>
            <w:tcW w:type="pct" w:w="1400"/>
            <w:tcMar>
              <w:top w:type="dxa" w:w="60"/>
              <w:left w:type="dxa" w:w="100"/>
              <w:bottom w:type="dxa" w:w="60"/>
              <w:right w:type="dxa" w:w="100"/>
            </w:tcMar>
          </w:tcPr>
          <w:p>
            <w:r>
              <w:t xml:space="preserve">Secondary keyword</w:t>
            </w:r>
          </w:p>
        </w:tc>
        <w:tc>
          <w:tcPr>
            <w:tcW w:type="pct" w:w="3600"/>
            <w:tcMar>
              <w:top w:type="dxa" w:w="60"/>
              <w:left w:type="dxa" w:w="100"/>
              <w:bottom w:type="dxa" w:w="60"/>
              <w:right w:type="dxa" w:w="100"/>
            </w:tcMar>
          </w:tcPr>
          <w:p>
            <w:r>
              <w:t xml:space="preserve">ai data readiness checklist</w:t>
            </w:r>
          </w:p>
        </w:tc>
      </w:tr>
      <w:tr>
        <w:trPr>
          <w:cantSplit/>
          <w:tblHeader w:val="off"/>
        </w:trPr>
        <w:tc>
          <w:tcPr>
            <w:tcW w:type="pct" w:w="1400"/>
            <w:tcMar>
              <w:top w:type="dxa" w:w="60"/>
              <w:left w:type="dxa" w:w="100"/>
              <w:bottom w:type="dxa" w:w="60"/>
              <w:right w:type="dxa" w:w="100"/>
            </w:tcMar>
          </w:tcPr>
          <w:p>
            <w:r>
              <w:t xml:space="preserve">Related questions</w:t>
            </w:r>
          </w:p>
        </w:tc>
        <w:tc>
          <w:tcPr>
            <w:tcW w:type="pct" w:w="3600"/>
            <w:tcMar>
              <w:top w:type="dxa" w:w="60"/>
              <w:left w:type="dxa" w:w="100"/>
              <w:bottom w:type="dxa" w:w="60"/>
              <w:right w:type="dxa" w:w="100"/>
            </w:tcMar>
          </w:tcPr>
          <w:p>
            <w:r>
              <w:t xml:space="preserve">What does "AI-ready data" mean? · How do I know if my data is ready for AI? · What should I fix before starting an AI project? · How long does data readiness take?</w:t>
            </w:r>
          </w:p>
        </w:tc>
      </w:tr>
      <w:tr>
        <w:trPr>
          <w:cantSplit/>
          <w:tblHeader w:val="off"/>
        </w:trPr>
        <w:tc>
          <w:tcPr>
            <w:tcW w:type="pct" w:w="1400"/>
            <w:tcMar>
              <w:top w:type="dxa" w:w="60"/>
              <w:left w:type="dxa" w:w="100"/>
              <w:bottom w:type="dxa" w:w="60"/>
              <w:right w:type="dxa" w:w="100"/>
            </w:tcMar>
          </w:tcPr>
          <w:p>
            <w:r>
              <w:t xml:space="preserve">Author</w:t>
            </w:r>
          </w:p>
        </w:tc>
        <w:tc>
          <w:tcPr>
            <w:tcW w:type="pct" w:w="3600"/>
            <w:tcMar>
              <w:top w:type="dxa" w:w="60"/>
              <w:left w:type="dxa" w:w="100"/>
              <w:bottom w:type="dxa" w:w="60"/>
              <w:right w:type="dxa" w:w="100"/>
            </w:tcMar>
          </w:tcPr>
          <w:p>
            <w:r>
              <w:t xml:space="preserve">Irfan Shaikh, Senior Solution Architect, xLoop Digital (byline on behalf of the xLoop Data &amp; Cloud team)</w:t>
            </w:r>
          </w:p>
        </w:tc>
      </w:tr>
      <w:tr>
        <w:trPr>
          <w:cantSplit/>
          <w:tblHeader w:val="off"/>
        </w:trPr>
        <w:tc>
          <w:tcPr>
            <w:tcW w:type="pct" w:w="1400"/>
            <w:tcMar>
              <w:top w:type="dxa" w:w="60"/>
              <w:left w:type="dxa" w:w="100"/>
              <w:bottom w:type="dxa" w:w="60"/>
              <w:right w:type="dxa" w:w="100"/>
            </w:tcMar>
          </w:tcPr>
          <w:p>
            <w:r>
              <w:t xml:space="preserve">Author bio line</w:t>
            </w:r>
          </w:p>
        </w:tc>
        <w:tc>
          <w:tcPr>
            <w:tcW w:type="pct" w:w="3600"/>
            <w:tcMar>
              <w:top w:type="dxa" w:w="60"/>
              <w:left w:type="dxa" w:w="100"/>
              <w:bottom w:type="dxa" w:w="60"/>
              <w:right w:type="dxa" w:w="100"/>
            </w:tcMar>
          </w:tcPr>
          <w:p>
            <w:r>
              <w:t xml:space="preserve">Irfan Shaikh is a Senior Solution Architect at xLoop Digital, where he designs data and cloud platforms for enterprise clients.</w:t>
            </w:r>
          </w:p>
        </w:tc>
      </w:tr>
      <w:tr>
        <w:trPr>
          <w:cantSplit/>
          <w:tblHeader w:val="off"/>
        </w:trPr>
        <w:tc>
          <w:tcPr>
            <w:tcW w:type="pct" w:w="1400"/>
            <w:tcMar>
              <w:top w:type="dxa" w:w="60"/>
              <w:left w:type="dxa" w:w="100"/>
              <w:bottom w:type="dxa" w:w="60"/>
              <w:right w:type="dxa" w:w="100"/>
            </w:tcMar>
          </w:tcPr>
          <w:p>
            <w:r>
              <w:t xml:space="preserve">CTA → target</w:t>
            </w:r>
          </w:p>
        </w:tc>
        <w:tc>
          <w:tcPr>
            <w:tcW w:type="pct" w:w="3600"/>
            <w:tcMar>
              <w:top w:type="dxa" w:w="60"/>
              <w:left w:type="dxa" w:w="100"/>
              <w:bottom w:type="dxa" w:w="60"/>
              <w:right w:type="dxa" w:w="100"/>
            </w:tcMar>
          </w:tcPr>
          <w:p>
            <w:r>
              <w:t xml:space="preserve">Primary: "Take the Data &amp; AI Readiness Assessment" → </w:t>
            </w:r>
            <w:r>
              <w:rPr>
                <w:rFonts w:ascii="Consolas" w:cs="Consolas" w:eastAsia="Consolas" w:hAnsi="Consolas"/>
                <w:sz w:val="19"/>
                <w:szCs w:val="19"/>
              </w:rPr>
              <w:t xml:space="preserve">[ASSESSMENT URL]</w:t>
            </w:r>
            <w:r>
              <w:t xml:space="preserve"> (goes live this week, per Sana 19 Oct 2026). Secondary: "Book a Data &amp; AI Readiness Review" → </w:t>
            </w:r>
            <w:r>
              <w:rPr>
                <w:rFonts w:ascii="Consolas" w:cs="Consolas" w:eastAsia="Consolas" w:hAnsi="Consolas"/>
                <w:sz w:val="19"/>
                <w:szCs w:val="19"/>
              </w:rPr>
              <w:t xml:space="preserve">/contact-us</w:t>
            </w:r>
            <w:r>
              <w:t xml:space="preserve"> (live)</w:t>
            </w:r>
          </w:p>
        </w:tc>
      </w:tr>
      <w:tr>
        <w:trPr>
          <w:cantSplit/>
          <w:tblHeader w:val="off"/>
        </w:trPr>
        <w:tc>
          <w:tcPr>
            <w:tcW w:type="pct" w:w="1400"/>
            <w:tcMar>
              <w:top w:type="dxa" w:w="60"/>
              <w:left w:type="dxa" w:w="100"/>
              <w:bottom w:type="dxa" w:w="60"/>
              <w:right w:type="dxa" w:w="100"/>
            </w:tcMar>
          </w:tcPr>
          <w:p>
            <w:r>
              <w:t xml:space="preserve">Internal links</w:t>
            </w:r>
          </w:p>
        </w:tc>
        <w:tc>
          <w:tcPr>
            <w:tcW w:type="pct" w:w="3600"/>
            <w:tcMar>
              <w:top w:type="dxa" w:w="60"/>
              <w:left w:type="dxa" w:w="100"/>
              <w:bottom w:type="dxa" w:w="60"/>
              <w:right w:type="dxa" w:w="100"/>
            </w:tcMar>
          </w:tcPr>
          <w:p>
            <w:r>
              <w:rPr>
                <w:rFonts w:ascii="Consolas" w:cs="Consolas" w:eastAsia="Consolas" w:hAnsi="Consolas"/>
                <w:sz w:val="19"/>
                <w:szCs w:val="19"/>
              </w:rPr>
              <w:t xml:space="preserve">/insights/blogs/common-data-challenges-in-ai-projects</w:t>
            </w:r>
            <w:r>
              <w:t xml:space="preserve"> (200) · </w:t>
            </w:r>
            <w:r>
              <w:rPr>
                <w:rFonts w:ascii="Consolas" w:cs="Consolas" w:eastAsia="Consolas" w:hAnsi="Consolas"/>
                <w:sz w:val="19"/>
                <w:szCs w:val="19"/>
              </w:rPr>
              <w:t xml:space="preserve">/insights/blogs/why-data-quality-is-the-real-backbone-of-ai-success</w:t>
            </w:r>
            <w:r>
              <w:t xml:space="preserve"> (200) · </w:t>
            </w:r>
            <w:r>
              <w:rPr>
                <w:rFonts w:ascii="Consolas" w:cs="Consolas" w:eastAsia="Consolas" w:hAnsi="Consolas"/>
                <w:sz w:val="19"/>
                <w:szCs w:val="19"/>
              </w:rPr>
              <w:t xml:space="preserve">/services/data-analytics</w:t>
            </w:r>
            <w:r>
              <w:t xml:space="preserve"> (200) · </w:t>
            </w:r>
            <w:r>
              <w:rPr>
                <w:rFonts w:ascii="Consolas" w:cs="Consolas" w:eastAsia="Consolas" w:hAnsi="Consolas"/>
                <w:sz w:val="19"/>
                <w:szCs w:val="19"/>
              </w:rPr>
              <w:t xml:space="preserve">/ai-consultancy</w:t>
            </w:r>
            <w:r>
              <w:t xml:space="preserve"> (200)</w:t>
            </w:r>
          </w:p>
        </w:tc>
      </w:tr>
      <w:tr>
        <w:trPr>
          <w:cantSplit/>
          <w:tblHeader w:val="off"/>
        </w:trPr>
        <w:tc>
          <w:tcPr>
            <w:tcW w:type="pct" w:w="1400"/>
            <w:tcMar>
              <w:top w:type="dxa" w:w="60"/>
              <w:left w:type="dxa" w:w="100"/>
              <w:bottom w:type="dxa" w:w="60"/>
              <w:right w:type="dxa" w:w="100"/>
            </w:tcMar>
          </w:tcPr>
          <w:p>
            <w:r>
              <w:t xml:space="preserve">External source</w:t>
            </w:r>
          </w:p>
        </w:tc>
        <w:tc>
          <w:tcPr>
            <w:tcW w:type="pct" w:w="3600"/>
            <w:tcMar>
              <w:top w:type="dxa" w:w="60"/>
              <w:left w:type="dxa" w:w="100"/>
              <w:bottom w:type="dxa" w:w="60"/>
              <w:right w:type="dxa" w:w="100"/>
            </w:tcMar>
          </w:tcPr>
          <w:p>
            <w:r>
              <w:t xml:space="preserve">Gartner press release, 26 Feb 2025: https://www.gartner.com/en/newsroom/press-releases/2025-02-26-lack-of-ai-ready-data-puts-ai-projects-at-risk</w:t>
            </w:r>
          </w:p>
        </w:tc>
      </w:tr>
      <w:tr>
        <w:trPr>
          <w:cantSplit/>
          <w:tblHeader w:val="off"/>
        </w:trPr>
        <w:tc>
          <w:tcPr>
            <w:tcW w:type="pct" w:w="1400"/>
            <w:tcMar>
              <w:top w:type="dxa" w:w="60"/>
              <w:left w:type="dxa" w:w="100"/>
              <w:bottom w:type="dxa" w:w="60"/>
              <w:right w:type="dxa" w:w="100"/>
            </w:tcMar>
          </w:tcPr>
          <w:p>
            <w:r>
              <w:t xml:space="preserve">Target length</w:t>
            </w:r>
          </w:p>
        </w:tc>
        <w:tc>
          <w:tcPr>
            <w:tcW w:type="pct" w:w="3600"/>
            <w:tcMar>
              <w:top w:type="dxa" w:w="60"/>
              <w:left w:type="dxa" w:w="100"/>
              <w:bottom w:type="dxa" w:w="60"/>
              <w:right w:type="dxa" w:w="100"/>
            </w:tcMar>
          </w:tcPr>
          <w:p>
            <w:r>
              <w:t xml:space="preserve">~1,800 words</w:t>
            </w:r>
          </w:p>
        </w:tc>
      </w:tr>
    </w:tbl>
    <w:p/>
    <w:p>
      <w:pPr>
        <w:pStyle w:val="Heading1"/>
      </w:pPr>
      <w:r>
        <w:t xml:space="preserve">Page copy</w:t>
      </w:r>
    </w:p>
    <w:p>
      <w:pPr>
        <w:spacing w:after="200"/>
      </w:pPr>
      <w:r>
        <w:rPr>
          <w:b/>
          <w:bCs/>
        </w:rPr>
        <w:t xml:space="preserve">H1:</w:t>
      </w:r>
      <w:r>
        <w:t xml:space="preserve"> Is Your Data Ready for AI? A 10-Point Checklist for Enterprise Leaders</w:t>
      </w:r>
    </w:p>
    <w:p>
      <w:pPr>
        <w:spacing w:after="160"/>
      </w:pPr>
      <w:r>
        <w:rPr>
          <w:b/>
          <w:bCs/>
        </w:rPr>
        <w:t xml:space="preserve">TL;DR</w:t>
      </w:r>
    </w:p>
    <w:p>
      <w:pPr>
        <w:pStyle w:val="ListParagraph"/>
        <w:numPr>
          <w:ilvl w:val="0"/>
          <w:numId w:val="1"/>
        </w:numPr>
      </w:pPr>
      <w:r>
        <w:t xml:space="preserve">Your data is ready for AI when it is findable, consistent, owned, governed and reachable by the tools that need it.</w:t>
      </w:r>
    </w:p>
    <w:p>
      <w:pPr>
        <w:pStyle w:val="ListParagraph"/>
        <w:numPr>
          <w:ilvl w:val="0"/>
          <w:numId w:val="1"/>
        </w:numPr>
      </w:pPr>
      <w:r>
        <w:t xml:space="preserve">Test ten things before you choose a model: sources, definitions, duplicates, gaps, ownership, lineage, access, security, volume and freshness.</w:t>
      </w:r>
    </w:p>
    <w:p>
      <w:pPr>
        <w:pStyle w:val="ListParagraph"/>
        <w:numPr>
          <w:ilvl w:val="0"/>
          <w:numId w:val="1"/>
        </w:numPr>
      </w:pPr>
      <w:r>
        <w:t xml:space="preserve">Score each 0, 1 or 2. Below 10 out of 20, fix the foundation before you fund a pilot.</w:t>
      </w:r>
    </w:p>
    <w:p>
      <w:pPr>
        <w:spacing w:after="160"/>
      </w:pPr>
      <w:r>
        <w:t xml:space="preserve">Your data is ready for AI when it is findable, consistent across systems, owned, governed and accessible to the tools that need it. To find out, test ten things before you pick a model: sources, definitions, duplicates, gaps, ownership, lineage, access, security, volume and freshness. Score each one honestly, and fix the lowest scores first.</w:t>
      </w:r>
    </w:p>
    <w:p>
      <w:pPr>
        <w:spacing w:after="160"/>
      </w:pPr>
      <w:r>
        <w:t xml:space="preserve">You don't need every dataset in the company to pass. You need the data behind the first use case you plan to fund to pass. That makes the checklist below a scoping tool as much as a test.</w:t>
      </w:r>
    </w:p>
    <w:p>
      <w:pPr>
        <w:pStyle w:val="Heading2"/>
      </w:pPr>
      <w:r>
        <w:t xml:space="preserve">What does "AI-ready data" mean?</w:t>
      </w:r>
    </w:p>
    <w:p>
      <w:pPr>
        <w:spacing w:after="160"/>
      </w:pPr>
      <w:r>
        <w:t xml:space="preserve">AI-ready data is data that a model or AI assistant can use without a person cleaning, explaining or correcting it first. It sits in known places, means the same thing in every system, has an owner, and can be reached safely by the systems that need it.</w:t>
      </w:r>
    </w:p>
    <w:p>
      <w:pPr>
        <w:spacing w:after="160"/>
      </w:pPr>
      <w:r>
        <w:t xml:space="preserve">The gap between "we have data" and "our data is AI-ready" is where most AI programs stall. Gartner predicts that through 2026, organizations will abandon 60% of AI projects that are not supported by AI-ready data, and found that 63% of organizations either lack or are unsure they have the right data management practices for AI (</w:t>
      </w:r>
      <w:hyperlink w:history="1" r:id="rIdwdc-hukwjk3ylb0bdpa59">
        <w:r>
          <w:rPr>
            <w:rStyle w:val="Hyperlink"/>
          </w:rPr>
          <w:t xml:space="preserve">Gartner, February 2025</w:t>
        </w:r>
      </w:hyperlink>
      <w:r>
        <w:t xml:space="preserve">).</w:t>
      </w:r>
    </w:p>
    <w:p>
      <w:pPr>
        <w:spacing w:after="160"/>
      </w:pPr>
      <w:r>
        <w:t xml:space="preserve">The model is rarely the hard part. The data underneath it usually is. We cover the most common causes in </w:t>
      </w:r>
      <w:hyperlink w:history="1" r:id="rIdsmtmvrwqzpmcx3enahbqi">
        <w:r>
          <w:rPr>
            <w:rStyle w:val="Hyperlink"/>
          </w:rPr>
          <w:t xml:space="preserve">common data challenges in AI projects</w:t>
        </w:r>
      </w:hyperlink>
      <w:r>
        <w:t xml:space="preserve">.</w:t>
      </w:r>
    </w:p>
    <w:p>
      <w:pPr>
        <w:pStyle w:val="Heading2"/>
      </w:pPr>
      <w:r>
        <w:t xml:space="preserve">How do I know if my data is ready for AI? The 10 point checklist</w:t>
      </w:r>
    </w:p>
    <w:p>
      <w:pPr>
        <w:spacing w:after="160"/>
      </w:pPr>
      <w:r>
        <w:t xml:space="preserve">Pick one use case you want to fund, then score the data behind it on each point:</w:t>
      </w:r>
    </w:p>
    <w:p>
      <w:pPr>
        <w:pStyle w:val="ListParagraph"/>
        <w:numPr>
          <w:ilvl w:val="0"/>
          <w:numId w:val="1"/>
        </w:numPr>
      </w:pPr>
      <w:r>
        <w:rPr>
          <w:b/>
          <w:bCs/>
        </w:rPr>
        <w:t xml:space="preserve">0</w:t>
      </w:r>
      <w:r>
        <w:t xml:space="preserve"> = no, or we don't know</w:t>
      </w:r>
    </w:p>
    <w:p>
      <w:pPr>
        <w:pStyle w:val="ListParagraph"/>
        <w:numPr>
          <w:ilvl w:val="0"/>
          <w:numId w:val="1"/>
        </w:numPr>
      </w:pPr>
      <w:r>
        <w:rPr>
          <w:b/>
          <w:bCs/>
        </w:rPr>
        <w:t xml:space="preserve">1</w:t>
      </w:r>
      <w:r>
        <w:t xml:space="preserve"> = partly, or only in some systems</w:t>
      </w:r>
    </w:p>
    <w:p>
      <w:pPr>
        <w:pStyle w:val="ListParagraph"/>
        <w:numPr>
          <w:ilvl w:val="0"/>
          <w:numId w:val="1"/>
        </w:numPr>
      </w:pPr>
      <w:r>
        <w:rPr>
          <w:b/>
          <w:bCs/>
        </w:rPr>
        <w:t xml:space="preserve">2</w:t>
      </w:r>
      <w:r>
        <w:t xml:space="preserve"> = yes, and we could show the evidence</w:t>
      </w:r>
    </w:p>
    <w:p>
      <w:pPr>
        <w:pStyle w:val="Heading3"/>
      </w:pPr>
      <w:r>
        <w:t xml:space="preserve">1. Sources: do you know every system that holds the data for this use case?</w:t>
      </w:r>
    </w:p>
    <w:p>
      <w:pPr>
        <w:spacing w:after="160"/>
      </w:pPr>
      <w:r>
        <w:t xml:space="preserve">Ready looks like a written list of every source system, including the spreadsheets and exports people actually rely on. If nobody can produce that list in a day, the AI project will discover the sources for you, one surprise at a time.</w:t>
      </w:r>
    </w:p>
    <w:p>
      <w:pPr>
        <w:spacing w:after="160"/>
      </w:pPr>
      <w:r>
        <w:rPr>
          <w:b/>
          <w:bCs/>
        </w:rPr>
        <w:t xml:space="preserve">Test:</w:t>
      </w:r>
      <w:r>
        <w:t xml:space="preserve"> Can your team name every system that feeds the use case, and who runs each one?</w:t>
      </w:r>
    </w:p>
    <w:p>
      <w:pPr>
        <w:pStyle w:val="Heading3"/>
      </w:pPr>
      <w:r>
        <w:t xml:space="preserve">2. Definitions: does a "customer", "order" or "active account" mean the same thing everywhere?</w:t>
      </w:r>
    </w:p>
    <w:p>
      <w:pPr>
        <w:spacing w:after="160"/>
      </w:pPr>
      <w:r>
        <w:t xml:space="preserve">Ready looks like agreed business definitions for the terms the use case depends on. When finance and sales count customers differently, a model trained on both will learn both, and nobody will trust its answer.</w:t>
      </w:r>
    </w:p>
    <w:p>
      <w:pPr>
        <w:spacing w:after="160"/>
      </w:pPr>
      <w:r>
        <w:rPr>
          <w:b/>
          <w:bCs/>
        </w:rPr>
        <w:t xml:space="preserve">Test:</w:t>
      </w:r>
      <w:r>
        <w:t xml:space="preserve"> If two teams report the same number this month, do they match?</w:t>
      </w:r>
    </w:p>
    <w:p>
      <w:pPr>
        <w:pStyle w:val="Heading3"/>
      </w:pPr>
      <w:r>
        <w:t xml:space="preserve">3. Duplicates: is each customer, product or asset recorded once?</w:t>
      </w:r>
    </w:p>
    <w:p>
      <w:pPr>
        <w:spacing w:after="160"/>
      </w:pPr>
      <w:r>
        <w:t xml:space="preserve">Ready looks like one record per real thing, or a known rule for merging records. Duplicates inflate counts, split histories, and give a model a distorted picture of who your customers are.</w:t>
      </w:r>
    </w:p>
    <w:p>
      <w:pPr>
        <w:spacing w:after="160"/>
      </w:pPr>
      <w:r>
        <w:rPr>
          <w:b/>
          <w:bCs/>
        </w:rPr>
        <w:t xml:space="preserve">Test:</w:t>
      </w:r>
      <w:r>
        <w:t xml:space="preserve"> Do you know roughly what share of your core records are duplicates?</w:t>
      </w:r>
    </w:p>
    <w:p>
      <w:pPr>
        <w:pStyle w:val="Heading3"/>
      </w:pPr>
      <w:r>
        <w:t xml:space="preserve">4. Gaps: are the fields the use case needs actually filled in?</w:t>
      </w:r>
    </w:p>
    <w:p>
      <w:pPr>
        <w:spacing w:after="160"/>
      </w:pPr>
      <w:r>
        <w:t xml:space="preserve">Ready looks like measured completeness for the fields that matter, not for the whole database. A churn model can't learn from a cancellation reason that is blank in most records.</w:t>
      </w:r>
    </w:p>
    <w:p>
      <w:pPr>
        <w:spacing w:after="160"/>
      </w:pPr>
      <w:r>
        <w:rPr>
          <w:b/>
          <w:bCs/>
        </w:rPr>
        <w:t xml:space="preserve">Test:</w:t>
      </w:r>
      <w:r>
        <w:t xml:space="preserve"> For the five fields this use case depends on most, do you know how often each is empty?</w:t>
      </w:r>
    </w:p>
    <w:p>
      <w:pPr>
        <w:pStyle w:val="Heading3"/>
      </w:pPr>
      <w:r>
        <w:t xml:space="preserve">5. Ownership: does each dataset have a named owner who can approve changes?</w:t>
      </w:r>
    </w:p>
    <w:p>
      <w:pPr>
        <w:spacing w:after="160"/>
      </w:pPr>
      <w:r>
        <w:t xml:space="preserve">Ready looks like a named person, not a department, for every dataset in scope. Without an owner, quality problems get reported and never fixed, and nobody can say whether data may be used for a new purpose.</w:t>
      </w:r>
    </w:p>
    <w:p>
      <w:pPr>
        <w:spacing w:after="160"/>
      </w:pPr>
      <w:r>
        <w:rPr>
          <w:b/>
          <w:bCs/>
        </w:rPr>
        <w:t xml:space="preserve">Test:</w:t>
      </w:r>
      <w:r>
        <w:t xml:space="preserve"> For each source on your list, can you name the person who decides what "correct" means?</w:t>
      </w:r>
    </w:p>
    <w:p>
      <w:pPr>
        <w:pStyle w:val="Heading3"/>
      </w:pPr>
      <w:r>
        <w:t xml:space="preserve">6. Lineage: can you trace a number back to where it came from?</w:t>
      </w:r>
    </w:p>
    <w:p>
      <w:pPr>
        <w:spacing w:after="160"/>
      </w:pPr>
      <w:r>
        <w:t xml:space="preserve">Lineage is the record of where data originated and every step that changed it on the way. Ready looks like being able to follow a figure from a report back through each transformation to its source. When an AI output looks wrong, lineage is how you find out why in hours instead of weeks.</w:t>
      </w:r>
    </w:p>
    <w:p>
      <w:pPr>
        <w:spacing w:after="160"/>
      </w:pPr>
      <w:r>
        <w:rPr>
          <w:b/>
          <w:bCs/>
        </w:rPr>
        <w:t xml:space="preserve">Test:</w:t>
      </w:r>
      <w:r>
        <w:t xml:space="preserve"> Pick a number from last month's board report. Can someone trace it to source today?</w:t>
      </w:r>
    </w:p>
    <w:p>
      <w:pPr>
        <w:pStyle w:val="Heading3"/>
      </w:pPr>
      <w:r>
        <w:t xml:space="preserve">7. Access: can the tools that need the data reach it through pipelines or APIs?</w:t>
      </w:r>
    </w:p>
    <w:p>
      <w:pPr>
        <w:spacing w:after="160"/>
      </w:pPr>
      <w:r>
        <w:t xml:space="preserve">Ready looks like data that flows to where it is used through documented pipelines or APIs, not through manual exports. If every refresh depends on someone downloading a file, an AI system built on it will be as reliable as that person's calendar.</w:t>
      </w:r>
    </w:p>
    <w:p>
      <w:pPr>
        <w:spacing w:after="160"/>
      </w:pPr>
      <w:r>
        <w:rPr>
          <w:b/>
          <w:bCs/>
        </w:rPr>
        <w:t xml:space="preserve">Test:</w:t>
      </w:r>
      <w:r>
        <w:t xml:space="preserve"> Could a new application read this data next week without anyone emailing a file?</w:t>
      </w:r>
    </w:p>
    <w:p>
      <w:pPr>
        <w:pStyle w:val="Heading3"/>
      </w:pPr>
      <w:r>
        <w:t xml:space="preserve">8. Security: do permissions follow the data into AI tools?</w:t>
      </w:r>
    </w:p>
    <w:p>
      <w:pPr>
        <w:spacing w:after="160"/>
      </w:pPr>
      <w:r>
        <w:t xml:space="preserve">Ready looks like access rules that still apply when the data is used by a model, a search index or an assistant. An assistant built on your documents should not show a junior analyst what only the board may see.</w:t>
      </w:r>
    </w:p>
    <w:p>
      <w:pPr>
        <w:spacing w:after="160"/>
      </w:pPr>
      <w:r>
        <w:rPr>
          <w:b/>
          <w:bCs/>
        </w:rPr>
        <w:t xml:space="preserve">Test:</w:t>
      </w:r>
      <w:r>
        <w:t xml:space="preserve"> Could an assistant built on your documents respect who is allowed to see what?</w:t>
      </w:r>
    </w:p>
    <w:p>
      <w:pPr>
        <w:pStyle w:val="Heading3"/>
      </w:pPr>
      <w:r>
        <w:t xml:space="preserve">9. Volume: is there enough history for the use case?</w:t>
      </w:r>
    </w:p>
    <w:p>
      <w:pPr>
        <w:spacing w:after="160"/>
      </w:pPr>
      <w:r>
        <w:t xml:space="preserve">Ready looks like enough relevant records, over enough time, to reflect how the business actually behaves, including seasonal swings and rare events. "Enough" depends on the use case: a forecast needs more history than a document search assistant does.</w:t>
      </w:r>
    </w:p>
    <w:p>
      <w:pPr>
        <w:spacing w:after="160"/>
      </w:pPr>
      <w:r>
        <w:rPr>
          <w:b/>
          <w:bCs/>
        </w:rPr>
        <w:t xml:space="preserve">Test:</w:t>
      </w:r>
      <w:r>
        <w:t xml:space="preserve"> Does your history cover at least one full business cycle for this use case?</w:t>
      </w:r>
    </w:p>
    <w:p>
      <w:pPr>
        <w:pStyle w:val="Heading3"/>
      </w:pPr>
      <w:r>
        <w:t xml:space="preserve">10. Freshness: is the data current enough for the decision it supports?</w:t>
      </w:r>
    </w:p>
    <w:p>
      <w:pPr>
        <w:spacing w:after="160"/>
      </w:pPr>
      <w:r>
        <w:t xml:space="preserve">Ready looks like a known refresh schedule that matches the decision. A monthly report can run on last week's data. A fraud check can't. Agree the freshness the use case needs before you build, then confirm the pipeline delivers it.</w:t>
      </w:r>
    </w:p>
    <w:p>
      <w:pPr>
        <w:spacing w:after="160"/>
      </w:pPr>
      <w:r>
        <w:rPr>
          <w:b/>
          <w:bCs/>
        </w:rPr>
        <w:t xml:space="preserve">Test:</w:t>
      </w:r>
      <w:r>
        <w:t xml:space="preserve"> Do you know how old the data is when it reaches the people or systems that use it?</w:t>
      </w:r>
    </w:p>
    <w:p>
      <w:pPr>
        <w:pBdr>
          <w:left w:val="single" w:color="E08A00" w:sz="18" w:space="8"/>
        </w:pBdr>
        <w:shd w:fill="FFF4E5" w:color="auto" w:val="clear"/>
        <w:spacing w:after="200" w:before="120"/>
      </w:pPr>
      <w:r>
        <w:rPr>
          <w:b/>
          <w:bCs/>
          <w:color w:val="8A5300"/>
        </w:rPr>
        <w:t xml:space="preserve">[CTA (MID) BLOCK] </w:t>
      </w:r>
      <w:r>
        <w:t xml:space="preserve">Want this scored for you? Take the Data &amp; AI Readiness Assessment. Answer 18 questions and get three scores, Data Foundation, AI Delivery and Safe to Scale, with the next step for each. </w:t>
      </w:r>
      <w:r>
        <w:rPr>
          <w:b/>
          <w:bCs/>
          <w:color w:val="C00000"/>
        </w:rPr>
        <w:t xml:space="preserve">Take the Data &amp; AI Readiness Assessment → (link: [ASSESSMENT URL])</w:t>
      </w:r>
    </w:p>
    <w:p>
      <w:pPr>
        <w:pStyle w:val="Heading2"/>
      </w:pPr>
      <w:r>
        <w:t xml:space="preserve">What does your score mean?</w:t>
      </w:r>
    </w:p>
    <w:p>
      <w:pPr>
        <w:spacing w:after="160"/>
      </w:pPr>
      <w:r>
        <w:t xml:space="preserve">Add up your ten scores for a total out of 20. Treat the bands below as a guide to where to spend the next quarter, not as a grade.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4241"/>
      </w:tblGrid>
      <w:tr>
        <w:trPr>
          <w:cantSplit/>
          <w:tblHeader/>
        </w:trPr>
        <w:tc>
          <w:tcPr>
            <w:tcW w:type="pct" w:w="800"/>
            <w:shd w:fill="E8EEF4" w:color="auto" w:val="clear"/>
            <w:tcMar>
              <w:top w:type="dxa" w:w="60"/>
              <w:left w:type="dxa" w:w="100"/>
              <w:bottom w:type="dxa" w:w="60"/>
              <w:right w:type="dxa" w:w="100"/>
            </w:tcMar>
          </w:tcPr>
          <w:p>
            <w:r>
              <w:rPr>
                <w:b/>
                <w:bCs/>
              </w:rPr>
              <w:t xml:space="preserve">Score</w:t>
            </w:r>
          </w:p>
        </w:tc>
        <w:tc>
          <w:tcPr>
            <w:tcW w:type="pct" w:w="2000"/>
            <w:shd w:fill="E8EEF4" w:color="auto" w:val="clear"/>
            <w:tcMar>
              <w:top w:type="dxa" w:w="60"/>
              <w:left w:type="dxa" w:w="100"/>
              <w:bottom w:type="dxa" w:w="60"/>
              <w:right w:type="dxa" w:w="100"/>
            </w:tcMar>
          </w:tcPr>
          <w:p>
            <w:r>
              <w:rPr>
                <w:b/>
                <w:bCs/>
              </w:rPr>
              <w:t xml:space="preserve">What it usually means</w:t>
            </w:r>
          </w:p>
        </w:tc>
        <w:tc>
          <w:tcPr>
            <w:tcW w:type="pct" w:w="2200"/>
            <w:shd w:fill="E8EEF4" w:color="auto" w:val="clear"/>
            <w:tcMar>
              <w:top w:type="dxa" w:w="60"/>
              <w:left w:type="dxa" w:w="100"/>
              <w:bottom w:type="dxa" w:w="60"/>
              <w:right w:type="dxa" w:w="100"/>
            </w:tcMar>
          </w:tcPr>
          <w:p>
            <w:r>
              <w:rPr>
                <w:b/>
                <w:bCs/>
              </w:rPr>
              <w:t xml:space="preserve">What to do next</w:t>
            </w:r>
          </w:p>
        </w:tc>
      </w:tr>
      <w:tr>
        <w:trPr>
          <w:cantSplit/>
          <w:tblHeader w:val="off"/>
        </w:trPr>
        <w:tc>
          <w:tcPr>
            <w:tcW w:type="pct" w:w="800"/>
            <w:tcMar>
              <w:top w:type="dxa" w:w="60"/>
              <w:left w:type="dxa" w:w="100"/>
              <w:bottom w:type="dxa" w:w="60"/>
              <w:right w:type="dxa" w:w="100"/>
            </w:tcMar>
          </w:tcPr>
          <w:p>
            <w:r>
              <w:rPr>
                <w:b/>
                <w:bCs/>
              </w:rPr>
              <w:t xml:space="preserve">16–20</w:t>
            </w:r>
          </w:p>
        </w:tc>
        <w:tc>
          <w:tcPr>
            <w:tcW w:type="pct" w:w="2000"/>
            <w:tcMar>
              <w:top w:type="dxa" w:w="60"/>
              <w:left w:type="dxa" w:w="100"/>
              <w:bottom w:type="dxa" w:w="60"/>
              <w:right w:type="dxa" w:w="100"/>
            </w:tcMar>
          </w:tcPr>
          <w:p>
            <w:r>
              <w:t xml:space="preserve">The data behind this use case is in good shape</w:t>
            </w:r>
          </w:p>
        </w:tc>
        <w:tc>
          <w:tcPr>
            <w:tcW w:type="pct" w:w="2200"/>
            <w:tcMar>
              <w:top w:type="dxa" w:w="60"/>
              <w:left w:type="dxa" w:w="100"/>
              <w:bottom w:type="dxa" w:w="60"/>
              <w:right w:type="dxa" w:w="100"/>
            </w:tcMar>
          </w:tcPr>
          <w:p>
            <w:r>
              <w:t xml:space="preserve">Run a scoped pilot, and keep monitoring quality and freshness once it is live</w:t>
            </w:r>
          </w:p>
        </w:tc>
      </w:tr>
      <w:tr>
        <w:trPr>
          <w:cantSplit/>
          <w:tblHeader w:val="off"/>
        </w:trPr>
        <w:tc>
          <w:tcPr>
            <w:tcW w:type="pct" w:w="800"/>
            <w:tcMar>
              <w:top w:type="dxa" w:w="60"/>
              <w:left w:type="dxa" w:w="100"/>
              <w:bottom w:type="dxa" w:w="60"/>
              <w:right w:type="dxa" w:w="100"/>
            </w:tcMar>
          </w:tcPr>
          <w:p>
            <w:r>
              <w:rPr>
                <w:b/>
                <w:bCs/>
              </w:rPr>
              <w:t xml:space="preserve">10–15</w:t>
            </w:r>
          </w:p>
        </w:tc>
        <w:tc>
          <w:tcPr>
            <w:tcW w:type="pct" w:w="2000"/>
            <w:tcMar>
              <w:top w:type="dxa" w:w="60"/>
              <w:left w:type="dxa" w:w="100"/>
              <w:bottom w:type="dxa" w:w="60"/>
              <w:right w:type="dxa" w:w="100"/>
            </w:tcMar>
          </w:tcPr>
          <w:p>
            <w:r>
              <w:t xml:space="preserve">Usable, with known gaps</w:t>
            </w:r>
          </w:p>
        </w:tc>
        <w:tc>
          <w:tcPr>
            <w:tcW w:type="pct" w:w="2200"/>
            <w:tcMar>
              <w:top w:type="dxa" w:w="60"/>
              <w:left w:type="dxa" w:w="100"/>
              <w:bottom w:type="dxa" w:w="60"/>
              <w:right w:type="dxa" w:w="100"/>
            </w:tcMar>
          </w:tcPr>
          <w:p>
            <w:r>
              <w:t xml:space="preserve">Fix the gaps that block this use case while you run a narrow pilot in parallel</w:t>
            </w:r>
          </w:p>
        </w:tc>
      </w:tr>
      <w:tr>
        <w:trPr>
          <w:cantSplit/>
          <w:tblHeader w:val="off"/>
        </w:trPr>
        <w:tc>
          <w:tcPr>
            <w:tcW w:type="pct" w:w="800"/>
            <w:tcMar>
              <w:top w:type="dxa" w:w="60"/>
              <w:left w:type="dxa" w:w="100"/>
              <w:bottom w:type="dxa" w:w="60"/>
              <w:right w:type="dxa" w:w="100"/>
            </w:tcMar>
          </w:tcPr>
          <w:p>
            <w:r>
              <w:rPr>
                <w:b/>
                <w:bCs/>
              </w:rPr>
              <w:t xml:space="preserve">0–9</w:t>
            </w:r>
          </w:p>
        </w:tc>
        <w:tc>
          <w:tcPr>
            <w:tcW w:type="pct" w:w="2000"/>
            <w:tcMar>
              <w:top w:type="dxa" w:w="60"/>
              <w:left w:type="dxa" w:w="100"/>
              <w:bottom w:type="dxa" w:w="60"/>
              <w:right w:type="dxa" w:w="100"/>
            </w:tcMar>
          </w:tcPr>
          <w:p>
            <w:r>
              <w:t xml:space="preserve">The foundation will decide the outcome, not the model</w:t>
            </w:r>
          </w:p>
        </w:tc>
        <w:tc>
          <w:tcPr>
            <w:tcW w:type="pct" w:w="2200"/>
            <w:tcMar>
              <w:top w:type="dxa" w:w="60"/>
              <w:left w:type="dxa" w:w="100"/>
              <w:bottom w:type="dxa" w:w="60"/>
              <w:right w:type="dxa" w:w="100"/>
            </w:tcMar>
          </w:tcPr>
          <w:p>
            <w:r>
              <w:t xml:space="preserve">Fix sources, definitions and ownership first; a pilot now will mostly measure data problems</w:t>
            </w:r>
          </w:p>
        </w:tc>
      </w:tr>
    </w:tbl>
    <w:p/>
    <w:p>
      <w:pPr>
        <w:spacing w:after="160"/>
      </w:pPr>
      <w:r>
        <w:t xml:space="preserve">Two rules matter more than the total:</w:t>
      </w:r>
    </w:p>
    <w:p>
      <w:pPr>
        <w:pStyle w:val="ListParagraph"/>
        <w:numPr>
          <w:ilvl w:val="0"/>
          <w:numId w:val="1"/>
        </w:numPr>
      </w:pPr>
      <w:r>
        <w:rPr>
          <w:b/>
          <w:bCs/>
        </w:rPr>
        <w:t xml:space="preserve">A 0 on security (point 8) is a blocker</w:t>
      </w:r>
      <w:r>
        <w:t xml:space="preserve"> at any total. Fix it before any AI tool touches the data.</w:t>
      </w:r>
    </w:p>
    <w:p>
      <w:pPr>
        <w:pStyle w:val="ListParagraph"/>
        <w:numPr>
          <w:ilvl w:val="0"/>
          <w:numId w:val="1"/>
        </w:numPr>
      </w:pPr>
      <w:r>
        <w:rPr>
          <w:b/>
          <w:bCs/>
        </w:rPr>
        <w:t xml:space="preserve">Low scores on sources, definitions and ownership (points 1, 2 and 5) drag everything else down.</w:t>
      </w:r>
      <w:r>
        <w:t xml:space="preserve"> Most other problems trace back to these three.</w:t>
      </w:r>
    </w:p>
    <w:p>
      <w:pPr>
        <w:pStyle w:val="Heading2"/>
      </w:pPr>
      <w:r>
        <w:t xml:space="preserve">What should I fix before starting an AI project?</w:t>
      </w:r>
    </w:p>
    <w:p>
      <w:pPr>
        <w:spacing w:after="160"/>
      </w:pPr>
      <w:r>
        <w:t xml:space="preserve">Fix the things that would make the AI's answer untrustworthy, in this order: agree the definitions, consolidate the sources into one trusted place, assign owners, then automate access. Quality tooling and dashboards come after, because they only measure problems the first four steps solve.</w:t>
      </w:r>
    </w:p>
    <w:p>
      <w:pPr>
        <w:spacing w:after="160"/>
      </w:pPr>
      <w:r>
        <w:t xml:space="preserve">In practice, the fix that helps most is usually a single source of truth. One retailer we worked with had data spread across SAP ERP, SAP BW and application databases, with no unified view and several competing versions of the same numbers. We consolidated it into a single Snowflake source of truth, built in layers that keep raw, cleaned and business ready data apart. Reporting, data analysis, data science models and AI use cases now run from one trusted source.</w:t>
      </w:r>
    </w:p>
    <w:p>
      <w:pPr>
        <w:spacing w:after="160"/>
      </w:pPr>
      <w:r>
        <w:t xml:space="preserve">Sometimes the platform is fine and the pipelines are the problem. For a water utility, operations teams couldn't count on complete, timely data. We traced the slowdowns to root causes in the existing pipeline code and rebuilt it without replacing the platform, so the utility got dependable data for monitoring and decisions from the platform it already owned.</w:t>
      </w:r>
    </w:p>
    <w:p>
      <w:pPr>
        <w:spacing w:after="160"/>
      </w:pPr>
      <w:r>
        <w:t xml:space="preserve">On platforms: our deepest delivery history is on Snowflake and Databricks, and we partner with AWS and Microsoft. The fundamentals in this checklist (layered architecture, governance, pipeline design) carry across the major platforms. The right choice follows your data residency needs, existing licenses and team skills.</w:t>
      </w:r>
    </w:p>
    <w:p>
      <w:pPr>
        <w:spacing w:after="160"/>
      </w:pPr>
      <w:r>
        <w:t xml:space="preserve">For more on why quality decides AI outcomes, read </w:t>
      </w:r>
      <w:hyperlink w:history="1" r:id="rIdq7sokybyt3oexybtdu-rf">
        <w:r>
          <w:rPr>
            <w:rStyle w:val="Hyperlink"/>
          </w:rPr>
          <w:t xml:space="preserve">why data quality is the real backbone of AI success</w:t>
        </w:r>
      </w:hyperlink>
      <w:r>
        <w:t xml:space="preserve">.</w:t>
      </w:r>
    </w:p>
    <w:p>
      <w:pPr>
        <w:pStyle w:val="Heading2"/>
      </w:pPr>
      <w:r>
        <w:t xml:space="preserve">How long does data readiness take?</w:t>
      </w:r>
    </w:p>
    <w:p>
      <w:pPr>
        <w:spacing w:after="160"/>
      </w:pPr>
      <w:r>
        <w:t xml:space="preserve">It depends on how many sources are in scope and how far apart they are. Finding out where you stand is quick: a focused assessment of one or two use cases typically takes two to four weeks. Fixing what it finds takes longer, and is best done in phases tied to the use cases you plan to fund, so each phase ends with data someone can use.</w:t>
      </w:r>
    </w:p>
    <w:p>
      <w:pPr>
        <w:spacing w:after="160"/>
      </w:pPr>
      <w:r>
        <w:t xml:space="preserve">The mistake to avoid is a companywide data cleanup with no use case attached. It is hard to fund, hard to finish, and hard to prove. Scope readiness to the first two or three AI use cases, fix their data, ship them, and extend from there.</w:t>
      </w:r>
    </w:p>
    <w:p>
      <w:pPr>
        <w:pStyle w:val="Heading2"/>
      </w:pPr>
      <w:r>
        <w:t xml:space="preserve">Who should own AI data readiness?</w:t>
      </w:r>
    </w:p>
    <w:p>
      <w:pPr>
        <w:spacing w:after="160"/>
      </w:pPr>
      <w:r>
        <w:t xml:space="preserve">The Head of Data or Chief Data Officer should own the data foundation, and the executive sponsoring the AI program should own the use case and the budget. Readiness fails when the two work separately: data teams fix what is easiest, and AI teams build on what is available.</w:t>
      </w:r>
    </w:p>
    <w:p>
      <w:pPr>
        <w:spacing w:after="160"/>
      </w:pPr>
      <w:r>
        <w:t xml:space="preserve">A simple working model is a shared scorecard. The sponsor picks the use cases, the data lead scores the data behind each one with this checklist, and both agree what gets fixed before any model is chosen. If you are still choosing those use cases, our </w:t>
      </w:r>
      <w:hyperlink w:history="1" r:id="rIdkq7vrykvfayoobweu7ryg">
        <w:r>
          <w:rPr>
            <w:rStyle w:val="Hyperlink"/>
          </w:rPr>
          <w:t xml:space="preserve">Data &amp; AI Consulting</w:t>
        </w:r>
      </w:hyperlink>
      <w:r>
        <w:t xml:space="preserve"> team helps prioritize them against the data you have.</w:t>
      </w:r>
    </w:p>
    <w:p>
      <w:pPr>
        <w:pStyle w:val="Heading2"/>
      </w:pPr>
      <w:r>
        <w:t xml:space="preserve">FAQ</w:t>
      </w:r>
    </w:p>
    <w:p>
      <w:pPr>
        <w:pStyle w:val="Heading3"/>
      </w:pPr>
      <w:r>
        <w:t xml:space="preserve">What does "AI-ready data" mean?</w:t>
      </w:r>
    </w:p>
    <w:p>
      <w:pPr>
        <w:spacing w:after="160"/>
      </w:pPr>
      <w:r>
        <w:t xml:space="preserve">AI-ready data is data a model or AI assistant can use without a person cleaning, explaining or correcting it first. It sits in known places, means the same thing in every system, has a named owner, and can be reached safely by the tools that need it.</w:t>
      </w:r>
    </w:p>
    <w:p>
      <w:pPr>
        <w:pStyle w:val="Heading3"/>
      </w:pPr>
      <w:r>
        <w:t xml:space="preserve">How do I know if my data is ready for AI?</w:t>
      </w:r>
    </w:p>
    <w:p>
      <w:pPr>
        <w:spacing w:after="160"/>
      </w:pPr>
      <w:r>
        <w:t xml:space="preserve">Pick the first use case you plan to fund and score the data behind it on ten points: sources, definitions, duplicates, gaps, ownership, lineage, access, security, volume and freshness. Score each 0, 1 or 2. A total of 16 or more usually supports a scoped pilot; below 10, fix the foundation first.</w:t>
      </w:r>
    </w:p>
    <w:p>
      <w:pPr>
        <w:pStyle w:val="Heading3"/>
      </w:pPr>
      <w:r>
        <w:t xml:space="preserve">What should I fix before starting an AI project?</w:t>
      </w:r>
    </w:p>
    <w:p>
      <w:pPr>
        <w:spacing w:after="160"/>
      </w:pPr>
      <w:r>
        <w:t xml:space="preserve">Fix definitions, sources, ownership and access, in that order. Agree what key business terms mean, consolidate data into one trusted source, name an owner for each dataset, and replace manual exports with pipelines or APIs. Any security gap is a blocker regardless of the rest.</w:t>
      </w:r>
    </w:p>
    <w:p>
      <w:pPr>
        <w:pStyle w:val="Heading3"/>
      </w:pPr>
      <w:r>
        <w:t xml:space="preserve">How long does data readiness take?</w:t>
      </w:r>
    </w:p>
    <w:p>
      <w:pPr>
        <w:spacing w:after="160"/>
      </w:pPr>
      <w:r>
        <w:t xml:space="preserve">An assessment of where you stand on one or two use cases typically takes two to four weeks. The fixes take longer and are best done in phases, each tied to a use case you plan to fund, rather than as a companywide cleanup.</w:t>
      </w:r>
    </w:p>
    <w:p>
      <w:pPr>
        <w:pStyle w:val="Heading3"/>
      </w:pPr>
      <w:r>
        <w:t xml:space="preserve">Do we need all our data to be AI-ready before we start?</w:t>
      </w:r>
    </w:p>
    <w:p>
      <w:pPr>
        <w:spacing w:after="160"/>
      </w:pPr>
      <w:r>
        <w:t xml:space="preserve">No. You need the data behind your first use case to be ready. Scoping readiness to two or three funded use cases keeps the work small enough to finish and shows results the business can see.</w:t>
      </w:r>
    </w:p>
    <w:p>
      <w:pPr>
        <w:pStyle w:val="Heading3"/>
      </w:pPr>
      <w:r>
        <w:t xml:space="preserve">Does AI data readiness depend on which platform we use?</w:t>
      </w:r>
    </w:p>
    <w:p>
      <w:pPr>
        <w:spacing w:after="160"/>
      </w:pPr>
      <w:r>
        <w:t xml:space="preserve">Less than most people expect. Layered architecture, governance and pipeline design work the same way across the major data platforms. Choose the platform for your data residency needs, existing licenses and team skills, then apply the same checklist.</w:t>
      </w:r>
    </w:p>
    <w:p>
      <w:pPr>
        <w:pBdr>
          <w:left w:val="single" w:color="E08A00" w:sz="18" w:space="8"/>
        </w:pBdr>
        <w:shd w:fill="FFF4E5" w:color="auto" w:val="clear"/>
        <w:spacing w:after="200" w:before="120"/>
      </w:pPr>
      <w:r>
        <w:rPr>
          <w:b/>
          <w:bCs/>
          <w:color w:val="8A5300"/>
        </w:rPr>
        <w:t xml:space="preserve">[CTA (END) BLOCK] </w:t>
      </w:r>
      <w:r>
        <w:t xml:space="preserve">Find out if your data is ready for AI. The Data &amp; AI Readiness Assessment scores your Data Foundation, AI Delivery and Safe to Scale in 18 questions and shows what to fix first. </w:t>
      </w:r>
      <w:r>
        <w:rPr>
          <w:b/>
          <w:bCs/>
          <w:color w:val="C00000"/>
        </w:rPr>
        <w:t xml:space="preserve">Take the Data &amp; AI Readiness Assessment → (link: [ASSESSMENT URL])</w:t>
      </w:r>
      <w:r>
        <w:t xml:space="preserve"> · Prefer to talk it through? </w:t>
      </w:r>
      <w:hyperlink w:history="1" r:id="rIdgwtzpxs2bkluchyuldhhz">
        <w:r>
          <w:rPr>
            <w:rStyle w:val="Hyperlink"/>
          </w:rPr>
          <w:t xml:space="preserve">Book a 30 minute Data &amp; AI Readiness Review</w:t>
        </w:r>
      </w:hyperlink>
      <w:r>
        <w:t xml:space="preserve"> with our data leads, or see how we build data platforms on our </w:t>
      </w:r>
      <w:hyperlink w:history="1" r:id="rIduurww78rz5pcxzdh6ck1m">
        <w:r>
          <w:rPr>
            <w:rStyle w:val="Hyperlink"/>
          </w:rPr>
          <w:t xml:space="preserve">Data &amp; Analytics services</w:t>
        </w:r>
      </w:hyperlink>
      <w:r>
        <w:t xml:space="preserve"> page.</w:t>
      </w:r>
    </w:p>
    <w:p>
      <w:pPr>
        <w:pStyle w:val="Heading1"/>
      </w:pPr>
      <w:r>
        <w:t xml:space="preserve">Structured data (JSON-LD)</w:t>
      </w:r>
    </w:p>
    <w:p>
      <w:r>
        <w:t xml:space="preserve">Add in the page head as one </w:t>
      </w:r>
      <w:r>
        <w:rPr>
          <w:rFonts w:ascii="Consolas" w:cs="Consolas" w:eastAsia="Consolas" w:hAnsi="Consolas"/>
          <w:sz w:val="19"/>
          <w:szCs w:val="19"/>
        </w:rPr>
        <w:t xml:space="preserve">&lt;script type="application/ld+json"&gt;</w:t>
      </w:r>
      <w:r>
        <w:t xml:space="preserve"> block. Fill in the dates first.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"@context": "https://schema.org",</w:t>
      </w:r>
    </w:p>
    <w:p>
      <w:pPr>
        <w:spacing w:after="0"/>
      </w:pPr>
      <w:r>
        <w:rPr>
          <w:rFonts w:ascii="Consolas" w:cs="Consolas" w:eastAsia="Consolas" w:hAnsi="Consolas"/>
          <w:sz w:val="16"/>
          <w:szCs w:val="16"/>
        </w:rPr>
        <w:t xml:space="preserve">  "@graph":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"@type": "BlogPosting",</w:t>
      </w:r>
    </w:p>
    <w:p>
      <w:pPr>
        <w:spacing w:after="0"/>
      </w:pPr>
      <w:r>
        <w:rPr>
          <w:rFonts w:ascii="Consolas" w:cs="Consolas" w:eastAsia="Consolas" w:hAnsi="Consolas"/>
          <w:sz w:val="16"/>
          <w:szCs w:val="16"/>
        </w:rPr>
        <w:t xml:space="preserve">      "headline": "Is Your Data Ready for AI? A 10-Point Checklist for Enterprise Leaders",</w:t>
      </w:r>
    </w:p>
    <w:p>
      <w:pPr>
        <w:spacing w:after="0"/>
      </w:pPr>
      <w:r>
        <w:rPr>
          <w:rFonts w:ascii="Consolas" w:cs="Consolas" w:eastAsia="Consolas" w:hAnsi="Consolas"/>
          <w:sz w:val="16"/>
          <w:szCs w:val="16"/>
        </w:rPr>
        <w:t xml:space="preserve">      "author": { "@type": "Person", "name": "Irfan Shaikh", "jobTitle": "Senior Solution Architect" },</w:t>
      </w:r>
    </w:p>
    <w:p>
      <w:pPr>
        <w:spacing w:after="0"/>
      </w:pPr>
      <w:r>
        <w:rPr>
          <w:rFonts w:ascii="Consolas" w:cs="Consolas" w:eastAsia="Consolas" w:hAnsi="Consolas"/>
          <w:sz w:val="16"/>
          <w:szCs w:val="16"/>
        </w:rPr>
        <w:t xml:space="preserve">      "publisher": { "@type": "Organization", "name": "xLoop Digital", "url": "https://xloopdigital.com" },</w:t>
      </w:r>
    </w:p>
    <w:p>
      <w:pPr>
        <w:spacing w:after="0"/>
      </w:pPr>
      <w:r>
        <w:rPr>
          <w:rFonts w:ascii="Consolas" w:cs="Consolas" w:eastAsia="Consolas" w:hAnsi="Consolas"/>
          <w:sz w:val="16"/>
          <w:szCs w:val="16"/>
        </w:rPr>
        <w:t xml:space="preserve">      "datePublished": "YYYY-MM-DD",</w:t>
      </w:r>
    </w:p>
    <w:p>
      <w:pPr>
        <w:spacing w:after="0"/>
      </w:pPr>
      <w:r>
        <w:rPr>
          <w:rFonts w:ascii="Consolas" w:cs="Consolas" w:eastAsia="Consolas" w:hAnsi="Consolas"/>
          <w:sz w:val="16"/>
          <w:szCs w:val="16"/>
        </w:rPr>
        <w:t xml:space="preserve">      "dateModified": "YYYY-MM-DD",</w:t>
      </w:r>
    </w:p>
    <w:p>
      <w:pPr>
        <w:spacing w:after="0"/>
      </w:pPr>
      <w:r>
        <w:rPr>
          <w:rFonts w:ascii="Consolas" w:cs="Consolas" w:eastAsia="Consolas" w:hAnsi="Consolas"/>
          <w:sz w:val="16"/>
          <w:szCs w:val="16"/>
        </w:rPr>
        <w:t xml:space="preserve">      "mainEntityOfPage": "https://xloopdigital.com/insights/blogs/is-your-data-ready-for-ai-checklist"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"@type": "FAQPage",</w:t>
      </w:r>
    </w:p>
    <w:p>
      <w:pPr>
        <w:spacing w:after="0"/>
      </w:pPr>
      <w:r>
        <w:rPr>
          <w:rFonts w:ascii="Consolas" w:cs="Consolas" w:eastAsia="Consolas" w:hAnsi="Consolas"/>
          <w:sz w:val="16"/>
          <w:szCs w:val="16"/>
        </w:rPr>
        <w:t xml:space="preserve">      "mainEntity": [</w:t>
      </w:r>
    </w:p>
    <w:p>
      <w:pPr>
        <w:spacing w:after="0"/>
      </w:pPr>
      <w:r>
        <w:rPr>
          <w:rFonts w:ascii="Consolas" w:cs="Consolas" w:eastAsia="Consolas" w:hAnsi="Consolas"/>
          <w:sz w:val="16"/>
          <w:szCs w:val="16"/>
        </w:rPr>
        <w:t xml:space="preserve">        { "@type": "Question", "name": "What does \"AI-ready data\" mean?", "acceptedAnswer": { "@type": "Answer", "text": "AI-ready data is data a model or AI assistant can use without a person cleaning, explaining or correcting it first. It sits in known places, means the same thing in every system, has a named owner, and can be reached safely by the tools that need it." } },</w:t>
      </w:r>
    </w:p>
    <w:p>
      <w:pPr>
        <w:spacing w:after="0"/>
      </w:pPr>
      <w:r>
        <w:rPr>
          <w:rFonts w:ascii="Consolas" w:cs="Consolas" w:eastAsia="Consolas" w:hAnsi="Consolas"/>
          <w:sz w:val="16"/>
          <w:szCs w:val="16"/>
        </w:rPr>
        <w:t xml:space="preserve">        { "@type": "Question", "name": "How do I know if my data is ready for AI?", "acceptedAnswer": { "@type": "Answer", "text": "Pick the first use case you plan to fund and score the data behind it on ten points: sources, definitions, duplicates, gaps, ownership, lineage, access, security, volume and freshness. Score each 0, 1 or 2. A total of 16 or more usually supports a scoped pilot; below 10, fix the foundation first." } },</w:t>
      </w:r>
    </w:p>
    <w:p>
      <w:pPr>
        <w:spacing w:after="0"/>
      </w:pPr>
      <w:r>
        <w:rPr>
          <w:rFonts w:ascii="Consolas" w:cs="Consolas" w:eastAsia="Consolas" w:hAnsi="Consolas"/>
          <w:sz w:val="16"/>
          <w:szCs w:val="16"/>
        </w:rPr>
        <w:t xml:space="preserve">        { "@type": "Question", "name": "What should I fix before starting an AI project?", "acceptedAnswer": { "@type": "Answer", "text": "Fix definitions, sources, ownership and access, in that order. Agree what key business terms mean, consolidate data into one trusted source, name an owner for each dataset, and replace manual exports with pipelines or APIs. Any security gap is a blocker regardless of the rest." } },</w:t>
      </w:r>
    </w:p>
    <w:p>
      <w:pPr>
        <w:spacing w:after="0"/>
      </w:pPr>
      <w:r>
        <w:rPr>
          <w:rFonts w:ascii="Consolas" w:cs="Consolas" w:eastAsia="Consolas" w:hAnsi="Consolas"/>
          <w:sz w:val="16"/>
          <w:szCs w:val="16"/>
        </w:rPr>
        <w:t xml:space="preserve">        { "@type": "Question", "name": "How long does data readiness take?", "acceptedAnswer": { "@type": "Answer", "text": "An assessment of where you stand on one or two use cases typically takes two to four weeks. The fixes take longer and are best done in phases, each tied to a use case you plan to fund, rather than as a companywide cleanup." } },</w:t>
      </w:r>
    </w:p>
    <w:p>
      <w:pPr>
        <w:spacing w:after="0"/>
      </w:pPr>
      <w:r>
        <w:rPr>
          <w:rFonts w:ascii="Consolas" w:cs="Consolas" w:eastAsia="Consolas" w:hAnsi="Consolas"/>
          <w:sz w:val="16"/>
          <w:szCs w:val="16"/>
        </w:rPr>
        <w:t xml:space="preserve">        { "@type": "Question", "name": "Do we need all our data to be AI-ready before we start?", "acceptedAnswer": { "@type": "Answer", "text": "No. You need the data behind your first use case to be ready. Scoping readiness to two or three funded use cases keeps the work small enough to finish and shows results the business can see." } },</w:t>
      </w:r>
    </w:p>
    <w:p>
      <w:pPr>
        <w:spacing w:after="0"/>
      </w:pPr>
      <w:r>
        <w:rPr>
          <w:rFonts w:ascii="Consolas" w:cs="Consolas" w:eastAsia="Consolas" w:hAnsi="Consolas"/>
          <w:sz w:val="16"/>
          <w:szCs w:val="16"/>
        </w:rPr>
        <w:t xml:space="preserve">        { "@type": "Question", "name": "Does AI data readiness depend on which platform we use?", "acceptedAnswer": { "@type": "Answer", "text": "Less than most people expect. Layered architecture, governance and pipeline design work the same way across the major data platforms. Choose the platform for your data residency needs, existing licenses and team skills, then apply the same checklist."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"@type": "BreadcrumbList",</w:t>
      </w:r>
    </w:p>
    <w:p>
      <w:pPr>
        <w:spacing w:after="0"/>
      </w:pPr>
      <w:r>
        <w:rPr>
          <w:rFonts w:ascii="Consolas" w:cs="Consolas" w:eastAsia="Consolas" w:hAnsi="Consolas"/>
          <w:sz w:val="16"/>
          <w:szCs w:val="16"/>
        </w:rPr>
        <w:t xml:space="preserve">      "itemListElement": [</w:t>
      </w:r>
    </w:p>
    <w:p>
      <w:pPr>
        <w:spacing w:after="0"/>
      </w:pPr>
      <w:r>
        <w:rPr>
          <w:rFonts w:ascii="Consolas" w:cs="Consolas" w:eastAsia="Consolas" w:hAnsi="Consolas"/>
          <w:sz w:val="16"/>
          <w:szCs w:val="16"/>
        </w:rPr>
        <w:t xml:space="preserve">        { "@type": "ListItem", "position": 1, "name": "Insights", "item": "https://xloopdigital.com/insights" },</w:t>
      </w:r>
    </w:p>
    <w:p>
      <w:pPr>
        <w:spacing w:after="0"/>
      </w:pPr>
      <w:r>
        <w:rPr>
          <w:rFonts w:ascii="Consolas" w:cs="Consolas" w:eastAsia="Consolas" w:hAnsi="Consolas"/>
          <w:sz w:val="16"/>
          <w:szCs w:val="16"/>
        </w:rPr>
        <w:t xml:space="preserve">        { "@type": "ListItem", "position": 2, "name": "Blogs", "item": "https://xloopdigital.com/insights/blogs" },</w:t>
      </w:r>
    </w:p>
    <w:p>
      <w:pPr>
        <w:spacing w:after="0"/>
      </w:pPr>
      <w:r>
        <w:rPr>
          <w:rFonts w:ascii="Consolas" w:cs="Consolas" w:eastAsia="Consolas" w:hAnsi="Consolas"/>
          <w:sz w:val="16"/>
          <w:szCs w:val="16"/>
        </w:rPr>
        <w:t xml:space="preserve">        { "@type": "ListItem", "position": 3, "name": "Is Your Data Ready for AI?", "item": "https://xloopdigital.com/insights/blogs/is-your-data-ready-for-ai-checklist"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0B2545"/>
      <w:sz w:val="40"/>
      <w:szCs w:val="40"/>
    </w:rPr>
  </w:style>
  <w:style w:type="paragraph" w:styleId="Heading1">
    <w:name w:val="Heading 1"/>
    <w:basedOn w:val="Normal"/>
    <w:next w:val="Normal"/>
    <w:pPr>
      <w:keepNext/>
      <w:spacing w:after="160" w:before="360"/>
    </w:pPr>
    <w:rPr>
      <w:b/>
      <w:bCs/>
      <w:color w:val="0B2545"/>
      <w:sz w:val="32"/>
      <w:szCs w:val="32"/>
    </w:rPr>
  </w:style>
  <w:style w:type="paragraph" w:styleId="Heading2">
    <w:name w:val="Heading 2"/>
    <w:basedOn w:val="Normal"/>
    <w:next w:val="Normal"/>
    <w:pPr>
      <w:keepNext/>
      <w:spacing w:after="120" w:before="280"/>
    </w:pPr>
    <w:rPr>
      <w:b/>
      <w:bCs/>
      <w:color w:val="13315C"/>
      <w:sz w:val="27"/>
      <w:szCs w:val="27"/>
    </w:rPr>
  </w:style>
  <w:style w:type="paragraph" w:styleId="Heading3">
    <w:name w:val="Heading 3"/>
    <w:basedOn w:val="Normal"/>
    <w:next w:val="Normal"/>
    <w:pPr>
      <w:keepNext/>
      <w:spacing w:after="80" w:before="200"/>
    </w:pPr>
    <w:rPr>
      <w:b/>
      <w:bCs/>
      <w:color w:val="1340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dc-hukwjk3ylb0bdpa59" Type="http://schemas.openxmlformats.org/officeDocument/2006/relationships/hyperlink" Target="https://www.gartner.com/en/newsroom/press-releases/2025-02-26-lack-of-ai-ready-data-puts-ai-projects-at-risk" TargetMode="External"/><Relationship Id="rIdsmtmvrwqzpmcx3enahbqi" Type="http://schemas.openxmlformats.org/officeDocument/2006/relationships/hyperlink" Target="https://xloopdigital.com/insights/blogs/common-data-challenges-in-ai-projects" TargetMode="External"/><Relationship Id="rIdq7sokybyt3oexybtdu-rf" Type="http://schemas.openxmlformats.org/officeDocument/2006/relationships/hyperlink" Target="https://xloopdigital.com/insights/blogs/why-data-quality-is-the-real-backbone-of-ai-success" TargetMode="External"/><Relationship Id="rIdkq7vrykvfayoobweu7ryg" Type="http://schemas.openxmlformats.org/officeDocument/2006/relationships/hyperlink" Target="https://xloopdigital.com/ai-consultancy" TargetMode="External"/><Relationship Id="rIdgwtzpxs2bkluchyuldhhz" Type="http://schemas.openxmlformats.org/officeDocument/2006/relationships/hyperlink" Target="https://xloopdigital.com/contact-us" TargetMode="External"/><Relationship Id="rIduurww78rz5pcxzdh6ck1m" Type="http://schemas.openxmlformats.org/officeDocument/2006/relationships/hyperlink" Target="https://xloopdigital.com/services/data-analytic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Your Data Ready for AI? A 10-Point Checklist for Enterprise Leaders</dc:title>
  <dc:creator>xLoop Marketing</dc:creator>
  <cp:lastModifiedBy>Un-named</cp:lastModifiedBy>
  <cp:revision>1</cp:revision>
  <dcterms:created xsi:type="dcterms:W3CDTF">2026-10-19T06:39:16.834Z</dcterms:created>
  <dcterms:modified xsi:type="dcterms:W3CDTF">2026-10-19T06:39:16.835Z</dcterms:modified>
</cp:coreProperties>
</file>

<file path=docProps/custom.xml><?xml version="1.0" encoding="utf-8"?>
<Properties xmlns="http://schemas.openxmlformats.org/officeDocument/2006/custom-properties" xmlns:vt="http://schemas.openxmlformats.org/officeDocument/2006/docPropsVTypes"/>
</file>