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pPr>
      <w:r>
        <w:rPr>
          <w:rFonts w:ascii="Calibri" w:cs="Calibri" w:eastAsia="Calibri" w:hAnsi="Calibri"/>
          <w:b/>
          <w:bCs/>
          <w:color w:val="5A5A6E"/>
          <w:sz w:val="20"/>
          <w:szCs w:val="20"/>
        </w:rPr>
        <w:t xml:space="preserve">xLOOP DIGITAL</w:t>
      </w:r>
    </w:p>
    <w:p>
      <w:pPr>
        <w:spacing w:after="100"/>
      </w:pPr>
      <w:r>
        <w:rPr>
          <w:rFonts w:ascii="Calibri" w:cs="Calibri" w:eastAsia="Calibri" w:hAnsi="Calibri"/>
          <w:b/>
          <w:bCs/>
          <w:color w:val="1B1B3A"/>
          <w:sz w:val="48"/>
          <w:szCs w:val="48"/>
        </w:rPr>
        <w:t xml:space="preserve">Legacy System Modernization Page</w:t>
      </w:r>
    </w:p>
    <w:p>
      <w:pPr>
        <w:spacing w:after="320"/>
      </w:pPr>
      <w:r>
        <w:rPr>
          <w:rFonts w:ascii="Calibri" w:cs="Calibri" w:eastAsia="Calibri" w:hAnsi="Calibri"/>
          <w:color w:val="2E5AAC"/>
          <w:sz w:val="26"/>
          <w:szCs w:val="26"/>
        </w:rPr>
        <w:t xml:space="preserve">Content specification for design and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Field</w:t>
            </w:r>
          </w:p>
        </w:tc>
        <w:tc>
          <w:tcPr>
            <w:tcW w:type="dxa" w:w="69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Value</w:t>
            </w:r>
          </w:p>
        </w:tc>
      </w:tr>
      <w:tr>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URL</w:t>
            </w:r>
          </w:p>
        </w:tc>
        <w:tc>
          <w:tcPr>
            <w:tcW w:type="dxa" w:w="6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/services/legacy-system-modernization</w:t>
            </w:r>
          </w:p>
        </w:tc>
      </w:tr>
      <w:tr>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Cluster</w:t>
            </w:r>
          </w:p>
        </w:tc>
        <w:tc>
          <w:tcPr>
            <w:tcW w:type="dxa" w:w="6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Digital Transformation — child of /services/digital-transformation</w:t>
            </w:r>
          </w:p>
        </w:tc>
      </w:tr>
      <w:tr>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Status</w:t>
            </w:r>
          </w:p>
        </w:tc>
        <w:tc>
          <w:tcPr>
            <w:tcW w:type="dxa" w:w="6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Approved for build. Launch dependencies in §8</w:t>
            </w:r>
          </w:p>
        </w:tc>
      </w:tr>
      <w:tr>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Version</w:t>
            </w:r>
          </w:p>
        </w:tc>
        <w:tc>
          <w:tcPr>
            <w:tcW w:type="dxa" w:w="6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v1.3 — 17 September 2026. Java 8 case merged with the national immunization platform; all placeholders resolved. Supersedes v1.2</w:t>
            </w:r>
          </w:p>
        </w:tc>
      </w:tr>
      <w:tr>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Owner</w:t>
            </w:r>
          </w:p>
        </w:tc>
        <w:tc>
          <w:tcPr>
            <w:tcW w:type="dxa" w:w="6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Marketing</w:t>
            </w:r>
          </w:p>
        </w:tc>
      </w:tr>
      <w:tr>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Spelling</w:t>
            </w:r>
          </w:p>
        </w:tc>
        <w:tc>
          <w:tcPr>
            <w:tcW w:type="dxa" w:w="6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US English throughout. "Legacy System Modernization" is the entity name — identical in title, H1, nav, schema and body</w:t>
            </w:r>
          </w:p>
        </w:tc>
      </w:tr>
      <w:tr>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Claims checked against</w:t>
            </w:r>
          </w:p>
        </w:tc>
        <w:tc>
          <w:tcPr>
            <w:tcW w:type="dxa" w:w="6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approved_claims.md · prohibited_claims.md · proof_library.md (Marketing Brain) · delivery input 17 Sept 2026</w:t>
            </w:r>
          </w:p>
        </w:tc>
      </w:tr>
    </w:tbl>
    <w:p>
      <w:pPr>
        <w:spacing w:after="240"/>
      </w:pPr>
      <w:r>
        <w:rPr>
          <w:sz w:val="2"/>
          <w:szCs w:val="2"/>
        </w:rPr>
        <w:t xml:space="preserve"/>
      </w:r>
    </w:p>
    <w:p>
      <w:pPr>
        <w:spacing w:after="160" w:before="80"/>
      </w:pPr>
      <w:r>
        <w:rPr>
          <w:rFonts w:ascii="Calibri" w:cs="Calibri" w:eastAsia="Calibri" w:hAnsi="Calibri"/>
          <w:b/>
          <w:bCs/>
          <w:color w:val="5A5A6E"/>
          <w:sz w:val="19"/>
          <w:szCs w:val="19"/>
        </w:rPr>
        <w:t xml:space="preserve">How to read this document. </w:t>
      </w:r>
      <w:r>
        <w:rPr>
          <w:rFonts w:ascii="Calibri" w:cs="Calibri" w:eastAsia="Calibri" w:hAnsi="Calibri"/>
          <w:i/>
          <w:iCs/>
          <w:color w:val="5A5A6E"/>
          <w:sz w:val="19"/>
          <w:szCs w:val="19"/>
        </w:rPr>
        <w:t xml:space="preserve">Blue-edged boxes are final copy — set them as written. Everything outside a box is instruction for design or development. §9 lists what must not be published; several sentences on this page are worded precisely to stay inside what xLoop has actually delivered.</w:t>
      </w:r>
    </w:p>
    <w:p>
      <w:r>
        <w:br w:type="page"/>
      </w:r>
    </w:p>
    <w:p>
      <w:pPr>
        <w:pStyle w:val="Heading1"/>
        <w:spacing w:after="160" w:before="360"/>
      </w:pPr>
      <w:r>
        <w:rPr>
          <w:rFonts w:ascii="Calibri" w:cs="Calibri" w:eastAsia="Calibri" w:hAnsi="Calibri"/>
          <w:b/>
          <w:bCs/>
          <w:color w:val="1B1B3A"/>
          <w:sz w:val="32"/>
          <w:szCs w:val="32"/>
        </w:rPr>
        <w:t xml:space="preserve">1. What this page is — and is not</w:t>
      </w:r>
    </w:p>
    <w:p>
      <w:pPr>
        <w:spacing w:after="120" w:before="0"/>
      </w:pPr>
      <w:r>
        <w:rPr>
          <w:rFonts w:ascii="Calibri" w:cs="Calibri" w:eastAsia="Calibri" w:hAnsi="Calibri"/>
          <w:sz w:val="21"/>
          <w:szCs w:val="21"/>
        </w:rPr>
        <w:t xml:space="preserve">This page sells assessment-led modernization of applications, infrastructure and data, with AI-readiness as the reason to act now. It does not sell breadth of legacy technology coverage, and it must not imply it.</w:t>
      </w:r>
    </w:p>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This page competes on</w:t>
            </w:r>
          </w:p>
        </w:tc>
        <w:tc>
          <w:tcPr>
            <w:tcW w:type="dxa" w:w="468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This page does not compete on</w:t>
            </w:r>
          </w:p>
        </w:tc>
      </w:tr>
      <w:tr>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 two-week discovery that tells buyers what to modernize, what to wrap in an API, and what to leave alone</w:t>
            </w:r>
          </w:p>
        </w:tc>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.NET Framework, Oracle, VB6 or mainframe conversion — not delivered</w:t>
            </w:r>
          </w:p>
        </w:tc>
      </w:tr>
      <w:tr>
        <w:tc>
          <w:tcPr>
            <w:tcW w:type="dxa" w:w="46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AI-assisted code migration with delivered proof: COBOL to Java for a financial services firm, and a national immunization platform brought from Java 8 onto a modern Java release</w:t>
            </w:r>
          </w:p>
        </w:tc>
        <w:tc>
          <w:tcPr>
            <w:tcW w:type="dxa" w:w="46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Breadth of legacy technology coverage</w:t>
            </w:r>
          </w:p>
        </w:tc>
      </w:tr>
      <w:tr>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Making legacy systems reachable by data and AI — the argument no competitor makes</w:t>
            </w:r>
          </w:p>
        </w:tc>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Tenure, analyst rankings or company-level certifications</w:t>
            </w:r>
          </w:p>
        </w:tc>
      </w:tr>
      <w:tr>
        <w:tc>
          <w:tcPr>
            <w:tcW w:type="dxa" w:w="46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Phased migration of applications, infrastructure and data onto AWS, private cloud and Snowflake</w:t>
            </w:r>
          </w:p>
        </w:tc>
        <w:tc>
          <w:tcPr>
            <w:tcW w:type="dxa" w:w="46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Core banking replacement programs</w:t>
            </w:r>
          </w:p>
        </w:tc>
      </w:tr>
      <w:tr>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Candor: what AI can and cannot do in modernization, and which systems should not be touched</w:t>
            </w:r>
          </w:p>
        </w:tc>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Unsourced percentage outcomes</w:t>
            </w:r>
          </w:p>
        </w:tc>
      </w:tr>
    </w:tbl>
    <w:p>
      <w:pPr>
        <w:spacing w:after="160" w:before="80"/>
      </w:pPr>
      <w:r>
        <w:rPr>
          <w:rFonts w:ascii="Calibri" w:cs="Calibri" w:eastAsia="Calibri" w:hAnsi="Calibri"/>
          <w:b/>
          <w:bCs/>
          <w:color w:val="5A5A6E"/>
          <w:sz w:val="19"/>
          <w:szCs w:val="19"/>
        </w:rPr>
        <w:t xml:space="preserve">Why this matters for leads. </w:t>
      </w:r>
      <w:r>
        <w:rPr>
          <w:rFonts w:ascii="Calibri" w:cs="Calibri" w:eastAsia="Calibri" w:hAnsi="Calibri"/>
          <w:i/>
          <w:iCs/>
          <w:color w:val="5A5A6E"/>
          <w:sz w:val="19"/>
          <w:szCs w:val="19"/>
        </w:rPr>
        <w:t xml:space="preserve">"Legacy system modernization" also attracts large mainframe replacement programs xLoop has not delivered. The page names those as not a fit (§3.11) so those leads self-select out before they reach sales.</w:t>
      </w:r>
    </w:p>
    <w:p>
      <w:pPr>
        <w:pStyle w:val="Heading2"/>
        <w:spacing w:after="140" w:before="300"/>
      </w:pPr>
      <w:r>
        <w:rPr>
          <w:rFonts w:ascii="Calibri" w:cs="Calibri" w:eastAsia="Calibri" w:hAnsi="Calibri"/>
          <w:b/>
          <w:bCs/>
          <w:color w:val="2E5AAC"/>
          <w:sz w:val="26"/>
          <w:szCs w:val="26"/>
        </w:rPr>
        <w:t xml:space="preserve">Who this page is written for</w:t>
      </w:r>
    </w:p>
    <w:p>
      <w:pPr>
        <w:spacing w:after="120" w:before="0"/>
      </w:pPr>
      <w:r>
        <w:rPr>
          <w:rFonts w:ascii="Calibri" w:cs="Calibri" w:eastAsia="Calibri" w:hAnsi="Calibri"/>
          <w:sz w:val="21"/>
          <w:szCs w:val="21"/>
        </w:rPr>
        <w:t xml:space="preserve">Three buyers from xLoop’s ICP research, plus one influencer. Each has different words for the same legacy problem, a different fear, and a different first step. The page speaks to each in their own language and routes each to the offer they are most likely to take.</w:t>
      </w:r>
    </w:p>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2400"/>
        <w:gridCol w:w="1700"/>
        <w:gridCol w:w="1860"/>
      </w:tblGrid>
      <w:tr>
        <w:trPr>
          <w:tblHeader/>
        </w:trPr>
        <w:tc>
          <w:tcPr>
            <w:tcW w:type="dxa" w:w="11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Role</w:t>
            </w:r>
          </w:p>
        </w:tc>
        <w:tc>
          <w:tcPr>
            <w:tcW w:type="dxa" w:w="23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Buyer</w:t>
            </w:r>
          </w:p>
        </w:tc>
        <w:tc>
          <w:tcPr>
            <w:tcW w:type="dxa" w:w="24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What they say</w:t>
            </w:r>
          </w:p>
        </w:tc>
        <w:tc>
          <w:tcPr>
            <w:tcW w:type="dxa" w:w="17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What they fear</w:t>
            </w:r>
          </w:p>
        </w:tc>
        <w:tc>
          <w:tcPr>
            <w:tcW w:type="dxa" w:w="18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Served by</w:t>
            </w:r>
          </w:p>
        </w:tc>
      </w:tr>
      <w:tr>
        <w:tc>
          <w:tcPr>
            <w:tcW w:type="dxa" w:w="11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Primary</w:t>
            </w:r>
          </w:p>
        </w:tc>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Data Modernization Owner — Head of Data, CDO, Director of Data Engineering</w:t>
            </w:r>
          </w:p>
        </w:tc>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"Dashboards don’t match." "Nobody trusts reports." "Everyone wants AI but our data is fragmented."</w:t>
            </w:r>
          </w:p>
        </w:tc>
        <w:tc>
          <w:tcPr>
            <w:tcW w:type="dxa" w:w="1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Being blamed when the AI initiative fails on the data layer</w:t>
            </w:r>
          </w:p>
        </w:tc>
        <w:tc>
          <w:tcPr>
            <w:tcW w:type="dxa" w:w="18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Role card 1 · §3.6 · FAQ Q15 · retailer data and utility cases</w:t>
            </w:r>
          </w:p>
        </w:tc>
      </w:tr>
      <w:tr>
        <w:tc>
          <w:tcPr>
            <w:tcW w:type="dxa" w:w="11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Secondary</w:t>
            </w:r>
          </w:p>
        </w:tc>
        <w:tc>
          <w:tcPr>
            <w:tcW w:type="dxa" w:w="2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AI Transformation Sponsor — CIO, CTO, CDO, VP Transformation</w:t>
            </w:r>
          </w:p>
        </w:tc>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"I don’t want a failed project attached to my name." "We need quick wins."</w:t>
            </w:r>
          </w:p>
        </w:tc>
        <w:tc>
          <w:tcPr>
            <w:tcW w:type="dxa" w:w="1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Spending heavily and nothing changing</w:t>
            </w:r>
          </w:p>
        </w:tc>
        <w:tc>
          <w:tcPr>
            <w:tcW w:type="dxa" w:w="18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Role card 2 · §3.5 · FAQ Q6, Q14 · discovery readout</w:t>
            </w:r>
          </w:p>
        </w:tc>
      </w:tr>
      <w:tr>
        <w:tc>
          <w:tcPr>
            <w:tcW w:type="dxa" w:w="11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Tertiary</w:t>
            </w:r>
          </w:p>
        </w:tc>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Product &amp; Platform Builder — CTO, VP Engineering, Head of Platform</w:t>
            </w:r>
          </w:p>
        </w:tc>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"We’re moving too slowly." "Roadmap commitments are at risk."</w:t>
            </w:r>
          </w:p>
        </w:tc>
        <w:tc>
          <w:tcPr>
            <w:tcW w:type="dxa" w:w="1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Missing the date</w:t>
            </w:r>
          </w:p>
        </w:tc>
        <w:tc>
          <w:tcPr>
            <w:tcW w:type="dxa" w:w="18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Role card 3 · §3.8 · FAQ Q8, Q9 · COBOL-to-Java and Java 8 cases</w:t>
            </w:r>
          </w:p>
        </w:tc>
      </w:tr>
      <w:tr>
        <w:tc>
          <w:tcPr>
            <w:tcW w:type="dxa" w:w="11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Influencer</w:t>
            </w:r>
          </w:p>
        </w:tc>
        <w:tc>
          <w:tcPr>
            <w:tcW w:type="dxa" w:w="2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AI Security Champion — CISO, Head of Risk</w:t>
            </w:r>
          </w:p>
        </w:tc>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Unsupported systems that can’t be patched</w:t>
            </w:r>
          </w:p>
        </w:tc>
        <w:tc>
          <w:tcPr>
            <w:tcW w:type="dxa" w:w="1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Being the incident</w:t>
            </w:r>
          </w:p>
        </w:tc>
        <w:tc>
          <w:tcPr>
            <w:tcW w:type="dxa" w:w="18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§3.3 sign 5 · FAQ Q11 · link to AI Security</w:t>
            </w:r>
          </w:p>
        </w:tc>
      </w:tr>
    </w:tbl>
    <w:p>
      <w:pPr>
        <w:spacing w:after="160" w:before="80"/>
      </w:pPr>
      <w:r>
        <w:rPr>
          <w:rFonts w:ascii="Calibri" w:cs="Calibri" w:eastAsia="Calibri" w:hAnsi="Calibri"/>
          <w:b/>
          <w:bCs/>
          <w:color w:val="5A5A6E"/>
          <w:sz w:val="19"/>
          <w:szCs w:val="19"/>
        </w:rPr>
        <w:t xml:space="preserve">Why role routing matters for lead generation. </w:t>
      </w:r>
      <w:r>
        <w:rPr>
          <w:rFonts w:ascii="Calibri" w:cs="Calibri" w:eastAsia="Calibri" w:hAnsi="Calibri"/>
          <w:i/>
          <w:iCs/>
          <w:color w:val="5A5A6E"/>
          <w:sz w:val="19"/>
          <w:szCs w:val="19"/>
        </w:rPr>
        <w:t xml:space="preserve">A single generic "contact us" converts only the buyer who is already sure. Role cards let each buyer see their own problem first, and tag the lead with a role before sales ever sees it.</w:t>
      </w:r>
    </w:p>
    <w:p>
      <w:pPr>
        <w:pStyle w:val="Heading2"/>
        <w:spacing w:after="140" w:before="300"/>
      </w:pPr>
      <w:r>
        <w:rPr>
          <w:rFonts w:ascii="Calibri" w:cs="Calibri" w:eastAsia="Calibri" w:hAnsi="Calibri"/>
          <w:b/>
          <w:bCs/>
          <w:color w:val="2E5AAC"/>
          <w:sz w:val="26"/>
          <w:szCs w:val="26"/>
        </w:rPr>
        <w:t xml:space="preserve">Sequencing</w:t>
      </w:r>
    </w:p>
    <w:p>
      <w:pPr>
        <w:pStyle w:val="ListParagraph"/>
        <w:numPr>
          <w:ilvl w:val="0"/>
          <w:numId w:val="2"/>
        </w:numPr>
        <w:spacing w:after="80"/>
      </w:pPr>
      <w:r>
        <w:rPr>
          <w:rFonts w:ascii="Calibri" w:cs="Calibri" w:eastAsia="Calibri" w:hAnsi="Calibri"/>
          <w:sz w:val="21"/>
          <w:szCs w:val="21"/>
        </w:rPr>
        <w:t xml:space="preserve">This page must be live before /services/digital-transformation links to it.</w:t>
      </w:r>
    </w:p>
    <w:p>
      <w:pPr>
        <w:pStyle w:val="ListParagraph"/>
        <w:numPr>
          <w:ilvl w:val="0"/>
          <w:numId w:val="2"/>
        </w:numPr>
        <w:spacing w:after="80"/>
      </w:pPr>
      <w:r>
        <w:rPr>
          <w:rFonts w:ascii="Calibri" w:cs="Calibri" w:eastAsia="Calibri" w:hAnsi="Calibri"/>
          <w:sz w:val="21"/>
          <w:szCs w:val="21"/>
        </w:rPr>
        <w:t xml:space="preserve">The Digital Transformation hub spec (v2.2) already carries a Legacy System Modernization card and FAQ that point here.</w:t>
      </w:r>
    </w:p>
    <w:p>
      <w:pPr>
        <w:pStyle w:val="Heading1"/>
        <w:spacing w:after="160" w:before="360"/>
      </w:pPr>
      <w:r>
        <w:rPr>
          <w:rFonts w:ascii="Calibri" w:cs="Calibri" w:eastAsia="Calibri" w:hAnsi="Calibri"/>
          <w:b/>
          <w:bCs/>
          <w:color w:val="1B1B3A"/>
          <w:sz w:val="32"/>
          <w:szCs w:val="32"/>
        </w:rPr>
        <w:t xml:space="preserve">2. Page setup — technical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900"/>
        <w:gridCol w:w="2760"/>
      </w:tblGrid>
      <w:tr>
        <w:trPr>
          <w:tblHeader/>
        </w:trPr>
        <w:tc>
          <w:tcPr>
            <w:tcW w:type="dxa" w:w="17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Field</w:t>
            </w:r>
          </w:p>
        </w:tc>
        <w:tc>
          <w:tcPr>
            <w:tcW w:type="dxa" w:w="49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Value</w:t>
            </w:r>
          </w:p>
        </w:tc>
        <w:tc>
          <w:tcPr>
            <w:tcW w:type="dxa" w:w="27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Notes</w:t>
            </w:r>
          </w:p>
        </w:tc>
      </w:tr>
      <w:tr>
        <w:tc>
          <w:tcPr>
            <w:tcW w:type="dxa" w:w="1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URL</w:t>
            </w:r>
          </w:p>
        </w:tc>
        <w:tc>
          <w:tcPr>
            <w:tcW w:type="dxa" w:w="4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/services/legacy-system-modernization</w:t>
            </w:r>
          </w:p>
        </w:tc>
        <w:tc>
          <w:tcPr>
            <w:tcW w:type="dxa" w:w="2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Lower case, no trailing slash</w:t>
            </w:r>
          </w:p>
        </w:tc>
      </w:tr>
      <w:tr>
        <w:tc>
          <w:tcPr>
            <w:tcW w:type="dxa" w:w="1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Title tag</w:t>
            </w:r>
          </w:p>
        </w:tc>
        <w:tc>
          <w:tcPr>
            <w:tcW w:type="dxa" w:w="49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Legacy System Modernization Services | xLoop</w:t>
            </w:r>
          </w:p>
        </w:tc>
        <w:tc>
          <w:tcPr>
            <w:tcW w:type="dxa" w:w="2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44 characters</w:t>
            </w:r>
          </w:p>
        </w:tc>
      </w:tr>
      <w:tr>
        <w:tc>
          <w:tcPr>
            <w:tcW w:type="dxa" w:w="1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Meta description</w:t>
            </w:r>
          </w:p>
        </w:tc>
        <w:tc>
          <w:tcPr>
            <w:tcW w:type="dxa" w:w="4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Modernize legacy applications, databases and infrastructure in phases, starting with a two-week discovery. For data, technology and engineering leaders.</w:t>
            </w:r>
          </w:p>
        </w:tc>
        <w:tc>
          <w:tcPr>
            <w:tcW w:type="dxa" w:w="2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152 characters</w:t>
            </w:r>
          </w:p>
        </w:tc>
      </w:tr>
      <w:tr>
        <w:tc>
          <w:tcPr>
            <w:tcW w:type="dxa" w:w="1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H1</w:t>
            </w:r>
          </w:p>
        </w:tc>
        <w:tc>
          <w:tcPr>
            <w:tcW w:type="dxa" w:w="49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Legacy System Modernization for Data, Cloud and AI</w:t>
            </w:r>
          </w:p>
        </w:tc>
        <w:tc>
          <w:tcPr>
            <w:tcW w:type="dxa" w:w="2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One H1 only · 50 characters</w:t>
            </w:r>
          </w:p>
        </w:tc>
      </w:tr>
      <w:tr>
        <w:tc>
          <w:tcPr>
            <w:tcW w:type="dxa" w:w="1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Canonical</w:t>
            </w:r>
          </w:p>
        </w:tc>
        <w:tc>
          <w:tcPr>
            <w:tcW w:type="dxa" w:w="4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Self-referencing, absolute URL</w:t>
            </w:r>
          </w:p>
        </w:tc>
        <w:tc>
          <w:tcPr>
            <w:tcW w:type="dxa" w:w="2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
            </w:r>
          </w:p>
        </w:tc>
      </w:tr>
      <w:tr>
        <w:tc>
          <w:tcPr>
            <w:tcW w:type="dxa" w:w="1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Breadcrumb</w:t>
            </w:r>
          </w:p>
        </w:tc>
        <w:tc>
          <w:tcPr>
            <w:tcW w:type="dxa" w:w="49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Home › Services › Digital Transformation › Legacy System Modernization</w:t>
            </w:r>
          </w:p>
        </w:tc>
        <w:tc>
          <w:tcPr>
            <w:tcW w:type="dxa" w:w="2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
            </w:r>
          </w:p>
        </w:tc>
      </w:tr>
      <w:tr>
        <w:tc>
          <w:tcPr>
            <w:tcW w:type="dxa" w:w="1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Schema</w:t>
            </w:r>
          </w:p>
        </w:tc>
        <w:tc>
          <w:tcPr>
            <w:tcW w:type="dxa" w:w="4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 · FAQPage · BreadcrumbList · Organization</w:t>
            </w:r>
          </w:p>
        </w:tc>
        <w:tc>
          <w:tcPr>
            <w:tcW w:type="dxa" w:w="2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JSON-LD, server-rendered — outline in §7</w:t>
            </w:r>
          </w:p>
        </w:tc>
      </w:tr>
      <w:tr>
        <w:tc>
          <w:tcPr>
            <w:tcW w:type="dxa" w:w="1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Last updated</w:t>
            </w:r>
          </w:p>
        </w:tc>
        <w:tc>
          <w:tcPr>
            <w:tcW w:type="dxa" w:w="49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Visible date on the page</w:t>
            </w:r>
          </w:p>
        </w:tc>
        <w:tc>
          <w:tcPr>
            <w:tcW w:type="dxa" w:w="2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
            </w:r>
          </w:p>
        </w:tc>
      </w:tr>
    </w:tbl>
    <w:p>
      <w:pPr>
        <w:spacing w:after="160"/>
      </w:pPr>
      <w:r>
        <w:rPr>
          <w:sz w:val="2"/>
          <w:szCs w:val="2"/>
        </w:rPr>
        <w:t xml:space="preserve"/>
      </w:r>
    </w:p>
    <w:p>
      <w:pPr>
        <w:pStyle w:val="Heading2"/>
        <w:spacing w:after="140" w:before="300"/>
      </w:pPr>
      <w:r>
        <w:rPr>
          <w:rFonts w:ascii="Calibri" w:cs="Calibri" w:eastAsia="Calibri" w:hAnsi="Calibri"/>
          <w:b/>
          <w:bCs/>
          <w:color w:val="2E5AAC"/>
          <w:sz w:val="26"/>
          <w:szCs w:val="26"/>
        </w:rPr>
        <w:t xml:space="preserve">Built for search engines, AI answer engines and AI agents</w:t>
      </w:r>
    </w:p>
    <w:p>
      <w:pPr>
        <w:spacing w:after="120" w:before="0"/>
      </w:pPr>
      <w:r>
        <w:rPr>
          <w:rFonts w:ascii="Calibri" w:cs="Calibri" w:eastAsia="Calibri" w:hAnsi="Calibri"/>
          <w:sz w:val="21"/>
          <w:szCs w:val="21"/>
        </w:rPr>
        <w:t xml:space="preserve">AI agents increasingly research, shortlist and contact vendors on a buyer’s behalf. They need facts they can extract and forms they can read.</w:t>
      </w:r>
    </w:p>
    <w:p>
      <w:pPr>
        <w:pStyle w:val="ListParagraph"/>
        <w:numPr>
          <w:ilvl w:val="0"/>
          <w:numId w:val="2"/>
        </w:numPr>
        <w:spacing w:after="80"/>
      </w:pPr>
      <w:r>
        <w:rPr>
          <w:rFonts w:ascii="Calibri" w:cs="Calibri" w:eastAsia="Calibri" w:hAnsi="Calibri"/>
          <w:sz w:val="21"/>
          <w:szCs w:val="21"/>
        </w:rPr>
        <w:t xml:space="preserve">Server-render everything — FAQ answers, all tables, all case cards. Nothing injected on click.</w:t>
      </w:r>
    </w:p>
    <w:p>
      <w:pPr>
        <w:pStyle w:val="ListParagraph"/>
        <w:numPr>
          <w:ilvl w:val="0"/>
          <w:numId w:val="2"/>
        </w:numPr>
        <w:spacing w:after="80"/>
      </w:pPr>
      <w:r>
        <w:rPr>
          <w:rFonts w:ascii="Calibri" w:cs="Calibri" w:eastAsia="Calibri" w:hAnsi="Calibri"/>
          <w:sz w:val="21"/>
          <w:szCs w:val="21"/>
        </w:rPr>
        <w:t xml:space="preserve">Every table on this page is a real HTML &lt;table&gt;. None as images or infographics.</w:t>
      </w:r>
    </w:p>
    <w:p>
      <w:pPr>
        <w:pStyle w:val="ListParagraph"/>
        <w:numPr>
          <w:ilvl w:val="0"/>
          <w:numId w:val="2"/>
        </w:numPr>
        <w:spacing w:after="80"/>
      </w:pPr>
      <w:r>
        <w:rPr>
          <w:rFonts w:ascii="Calibri" w:cs="Calibri" w:eastAsia="Calibri" w:hAnsi="Calibri"/>
          <w:sz w:val="21"/>
          <w:szCs w:val="21"/>
        </w:rPr>
        <w:t xml:space="preserve">Stable anchor IDs on every section, as listed in §3 (e.g. #approaches, #at-a-glance, #faq).</w:t>
      </w:r>
    </w:p>
    <w:p>
      <w:pPr>
        <w:pStyle w:val="ListParagraph"/>
        <w:numPr>
          <w:ilvl w:val="0"/>
          <w:numId w:val="2"/>
        </w:numPr>
        <w:spacing w:after="80"/>
      </w:pPr>
      <w:r>
        <w:rPr>
          <w:rFonts w:ascii="Calibri" w:cs="Calibri" w:eastAsia="Calibri" w:hAnsi="Calibri"/>
          <w:sz w:val="21"/>
          <w:szCs w:val="21"/>
        </w:rPr>
        <w:t xml:space="preserve">Forms: a real &lt;label&gt; on every field, plain-text dropdown options, and the form must submit without client-side JavaScript.</w:t>
      </w:r>
    </w:p>
    <w:p>
      <w:pPr>
        <w:pStyle w:val="ListParagraph"/>
        <w:numPr>
          <w:ilvl w:val="0"/>
          <w:numId w:val="2"/>
        </w:numPr>
        <w:spacing w:after="80"/>
      </w:pPr>
      <w:r>
        <w:rPr>
          <w:rFonts w:ascii="Calibri" w:cs="Calibri" w:eastAsia="Calibri" w:hAnsi="Calibri"/>
          <w:sz w:val="21"/>
          <w:szCs w:val="21"/>
        </w:rPr>
        <w:t xml:space="preserve">Partner names as visible HTML text, not only logos.</w:t>
      </w:r>
    </w:p>
    <w:p>
      <w:pPr>
        <w:pStyle w:val="ListParagraph"/>
        <w:numPr>
          <w:ilvl w:val="0"/>
          <w:numId w:val="2"/>
        </w:numPr>
        <w:spacing w:after="80"/>
      </w:pPr>
      <w:r>
        <w:rPr>
          <w:rFonts w:ascii="Calibri" w:cs="Calibri" w:eastAsia="Calibri" w:hAnsi="Calibri"/>
          <w:sz w:val="21"/>
          <w:szCs w:val="21"/>
        </w:rPr>
        <w:t xml:space="preserve">Add llms.txt at the site root, listing core service pages with a one-line description each.</w:t>
      </w:r>
    </w:p>
    <w:p>
      <w:pPr>
        <w:pStyle w:val="ListParagraph"/>
        <w:numPr>
          <w:ilvl w:val="0"/>
          <w:numId w:val="2"/>
        </w:numPr>
        <w:spacing w:after="80"/>
      </w:pPr>
      <w:r>
        <w:rPr>
          <w:rFonts w:ascii="Calibri" w:cs="Calibri" w:eastAsia="Calibri" w:hAnsi="Calibri"/>
          <w:sz w:val="21"/>
          <w:szCs w:val="21"/>
        </w:rPr>
        <w:t xml:space="preserve">One H1; one H2 per section; no skipped heading levels.</w:t>
      </w:r>
    </w:p>
    <w:p>
      <w:pPr>
        <w:pStyle w:val="ListParagraph"/>
        <w:numPr>
          <w:ilvl w:val="0"/>
          <w:numId w:val="2"/>
        </w:numPr>
        <w:spacing w:after="80"/>
      </w:pPr>
      <w:r>
        <w:rPr>
          <w:rFonts w:ascii="Calibri" w:cs="Calibri" w:eastAsia="Calibri" w:hAnsi="Calibri"/>
          <w:sz w:val="21"/>
          <w:szCs w:val="21"/>
        </w:rPr>
        <w:t xml:space="preserve">Fix the sitewide doubled title suffix ("| xLoop Digital | xLoop Digital") before launch.</w:t>
      </w:r>
    </w:p>
    <w:p>
      <w:r>
        <w:br w:type="page"/>
      </w:r>
    </w:p>
    <w:p>
      <w:pPr>
        <w:pStyle w:val="Heading1"/>
        <w:spacing w:after="160" w:before="360"/>
      </w:pPr>
      <w:r>
        <w:rPr>
          <w:rFonts w:ascii="Calibri" w:cs="Calibri" w:eastAsia="Calibri" w:hAnsi="Calibri"/>
          <w:b/>
          <w:bCs/>
          <w:color w:val="1B1B3A"/>
          <w:sz w:val="32"/>
          <w:szCs w:val="32"/>
        </w:rPr>
        <w:t xml:space="preserve">3. Page content</w:t>
      </w:r>
    </w:p>
    <w:p>
      <w:pPr>
        <w:spacing w:after="160" w:before="80"/>
      </w:pPr>
      <w:r>
        <w:rPr>
          <w:rFonts w:ascii="Calibri" w:cs="Calibri" w:eastAsia="Calibri" w:hAnsi="Calibri"/>
          <w:b/>
          <w:bCs/>
          <w:color w:val="5A5A6E"/>
          <w:sz w:val="19"/>
          <w:szCs w:val="19"/>
        </w:rPr>
        <w:t xml:space="preserve">Reminder. </w:t>
      </w:r>
      <w:r>
        <w:rPr>
          <w:rFonts w:ascii="Calibri" w:cs="Calibri" w:eastAsia="Calibri" w:hAnsi="Calibri"/>
          <w:i/>
          <w:iCs/>
          <w:color w:val="5A5A6E"/>
          <w:sz w:val="19"/>
          <w:szCs w:val="19"/>
        </w:rPr>
        <w:t xml:space="preserve">Copy inside blue-edged boxes is final. Anchor IDs are given in each heading.</w:t>
      </w:r>
    </w:p>
    <w:p>
      <w:pPr>
        <w:pStyle w:val="Heading2"/>
        <w:spacing w:after="140" w:before="300"/>
      </w:pPr>
      <w:r>
        <w:rPr>
          <w:rFonts w:ascii="Calibri" w:cs="Calibri" w:eastAsia="Calibri" w:hAnsi="Calibri"/>
          <w:b/>
          <w:bCs/>
          <w:color w:val="2E5AAC"/>
          <w:sz w:val="26"/>
          <w:szCs w:val="26"/>
        </w:rPr>
        <w:t xml:space="preserve">3.1 Hero  —  #top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EYEBROW</w:t>
            </w:r>
          </w:p>
          <w:p>
            <w:pPr>
              <w:spacing w:after="60"/>
            </w:pPr>
            <w:r>
              <w:rPr>
                <w:rFonts w:ascii="Calibri" w:cs="Calibri" w:eastAsia="Calibri" w:hAnsi="Calibri"/>
                <w:sz w:val="21"/>
                <w:szCs w:val="21"/>
              </w:rPr>
              <w:t xml:space="preserve">Digital Transformation</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H1</w:t>
            </w:r>
          </w:p>
          <w:p>
            <w:pPr>
              <w:spacing w:after="60"/>
            </w:pPr>
            <w:r>
              <w:rPr>
                <w:rFonts w:ascii="Calibri" w:cs="Calibri" w:eastAsia="Calibri" w:hAnsi="Calibri"/>
                <w:sz w:val="21"/>
                <w:szCs w:val="21"/>
              </w:rPr>
              <w:t xml:space="preserve">Legacy System Modernization for Data, Cloud and AI</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SUBHEAD</w:t>
            </w:r>
          </w:p>
          <w:p>
            <w:pPr>
              <w:spacing w:after="60"/>
            </w:pPr>
            <w:r>
              <w:rPr>
                <w:rFonts w:ascii="Calibri" w:cs="Calibri" w:eastAsia="Calibri" w:hAnsi="Calibri"/>
                <w:sz w:val="21"/>
                <w:szCs w:val="21"/>
              </w:rPr>
              <w:t xml:space="preserve">Reports that don’t match. Integrations that take months. AI pilots that stall at the data. We modernize the legacy systems behind them, in phases, starting with a two-week discovery, while the business keeps running.</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PRIMARY CTA</w:t>
            </w:r>
          </w:p>
          <w:p>
            <w:pPr>
              <w:spacing w:after="60"/>
            </w:pPr>
            <w:r>
              <w:rPr>
                <w:rFonts w:ascii="Calibri" w:cs="Calibri" w:eastAsia="Calibri" w:hAnsi="Calibri"/>
                <w:sz w:val="21"/>
                <w:szCs w:val="21"/>
              </w:rPr>
              <w:t xml:space="preserve">Book a 2-Week Legacy Discovery →</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SECONDARY CTA</w:t>
            </w:r>
          </w:p>
          <w:p>
            <w:pPr>
              <w:spacing w:after="60"/>
            </w:pPr>
            <w:r>
              <w:rPr>
                <w:rFonts w:ascii="Calibri" w:cs="Calibri" w:eastAsia="Calibri" w:hAnsi="Calibri"/>
                <w:sz w:val="21"/>
                <w:szCs w:val="21"/>
              </w:rPr>
              <w:t xml:space="preserve">Get a free legacy system triage →</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TRUST LINE — PLAIN TEXT, NOT AN IMAGE</w:t>
            </w:r>
          </w:p>
          <w:p>
            <w:pPr>
              <w:spacing w:after="60"/>
            </w:pPr>
            <w:r>
              <w:rPr>
                <w:rFonts w:ascii="Calibri" w:cs="Calibri" w:eastAsia="Calibri" w:hAnsi="Calibri"/>
                <w:sz w:val="21"/>
                <w:szCs w:val="21"/>
              </w:rPr>
              <w:t xml:space="preserve">Technology partners: AWS · Microsoft · Snowflake · Databricks · Salesforce</w:t>
            </w:r>
          </w:p>
        </w:tc>
      </w:tr>
    </w:tbl>
    <w:p>
      <w:pPr>
        <w:spacing w:after="160" w:before="80"/>
      </w:pPr>
      <w:r>
        <w:rPr>
          <w:rFonts w:ascii="Calibri" w:cs="Calibri" w:eastAsia="Calibri" w:hAnsi="Calibri"/>
          <w:b/>
          <w:bCs/>
          <w:color w:val="5A5A6E"/>
          <w:sz w:val="19"/>
          <w:szCs w:val="19"/>
        </w:rPr>
        <w:t xml:space="preserve">Why this H1. </w:t>
      </w:r>
      <w:r>
        <w:rPr>
          <w:rFonts w:ascii="Calibri" w:cs="Calibri" w:eastAsia="Calibri" w:hAnsi="Calibri"/>
          <w:i/>
          <w:iCs/>
          <w:color w:val="5A5A6E"/>
          <w:sz w:val="19"/>
          <w:szCs w:val="19"/>
        </w:rPr>
        <w:t xml:space="preserve">It leads with the exact search term and names the three things the buyer is actually trying to fix. No wordplay. The subhead opens with the symptoms ICP research records buyers saying internally, so the right reader recognizes their problem in the first line.</w:t>
      </w:r>
    </w:p>
    <w:p>
      <w:pPr>
        <w:spacing w:after="160" w:before="80"/>
      </w:pPr>
      <w:r>
        <w:rPr>
          <w:rFonts w:ascii="Calibri" w:cs="Calibri" w:eastAsia="Calibri" w:hAnsi="Calibri"/>
          <w:b/>
          <w:bCs/>
          <w:color w:val="5A5A6E"/>
          <w:sz w:val="19"/>
          <w:szCs w:val="19"/>
        </w:rPr>
        <w:t xml:space="preserve">Why the CTA names the duration. </w:t>
      </w:r>
      <w:r>
        <w:rPr>
          <w:rFonts w:ascii="Calibri" w:cs="Calibri" w:eastAsia="Calibri" w:hAnsi="Calibri"/>
          <w:i/>
          <w:iCs/>
          <w:color w:val="5A5A6E"/>
          <w:sz w:val="19"/>
          <w:szCs w:val="19"/>
        </w:rPr>
        <w:t xml:space="preserve">A stated two-week first step lowers the perceived cost of starting. It reflects how delivery actually runs engagements.</w:t>
      </w:r>
    </w:p>
    <w:p>
      <w:pPr>
        <w:pStyle w:val="Heading3"/>
        <w:spacing w:after="100" w:before="220"/>
      </w:pPr>
      <w:r>
        <w:rPr>
          <w:rFonts w:ascii="Calibri" w:cs="Calibri" w:eastAsia="Calibri" w:hAnsi="Calibri"/>
          <w:b/>
          <w:bCs/>
          <w:color w:val="1B1B3A"/>
          <w:sz w:val="22"/>
          <w:szCs w:val="22"/>
        </w:rPr>
        <w:t xml:space="preserve">Role cards  —  #who-its-for  (directly below the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SECTION H2</w:t>
            </w:r>
          </w:p>
          <w:p>
            <w:pPr>
              <w:spacing w:after="60"/>
            </w:pPr>
            <w:r>
              <w:rPr>
                <w:rFonts w:ascii="Calibri" w:cs="Calibri" w:eastAsia="Calibri" w:hAnsi="Calibri"/>
                <w:sz w:val="21"/>
                <w:szCs w:val="21"/>
              </w:rPr>
              <w:t xml:space="preserve">Where Does Your Legacy Problem Show Up?</w:t>
            </w:r>
          </w:p>
        </w:tc>
      </w:tr>
    </w:tbl>
    <w:p>
      <w:pPr>
        <w:spacing w:after="8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Card 1 — Heads of Data and CDOs</w:t>
            </w:r>
          </w:p>
        </w:tc>
        <w:tc>
          <w:tcPr>
            <w:tcW w:type="dxa" w:w="312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Card 2 — CIOs, CTOs and Transformation Leaders</w:t>
            </w:r>
          </w:p>
        </w:tc>
        <w:tc>
          <w:tcPr>
            <w:tcW w:type="dxa" w:w="312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Card 3 — Engineering and Platform Leaders</w:t>
            </w:r>
          </w:p>
        </w:tc>
      </w:tr>
      <w:tr>
        <w:tc>
          <w:tcPr>
            <w:tcW w:type="dxa" w:w="312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Nobody trusts the numbers.</w:t>
            </w:r>
          </w:p>
        </w:tc>
        <w:tc>
          <w:tcPr>
            <w:tcW w:type="dxa" w:w="312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The AI plan depends on systems nobody wants to touch.</w:t>
            </w:r>
          </w:p>
        </w:tc>
        <w:tc>
          <w:tcPr>
            <w:tcW w:type="dxa" w:w="312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The legacy stack slows every release.</w:t>
            </w:r>
          </w:p>
        </w:tc>
      </w:tr>
      <w:tr>
        <w:tc>
          <w:tcPr>
            <w:tcW w:type="dxa" w:w="312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Dashboards don’t match. Data is pulled by hand from systems that were never designed to share it. And every AI initiative lands on your desk as a data problem.</w:t>
            </w:r>
          </w:p>
        </w:tc>
        <w:tc>
          <w:tcPr>
            <w:tcW w:type="dxa" w:w="312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Leadership wants results from AI. The plan depends on core systems that are costly to change and risky to replace — and a failed modernization would be worse than none.</w:t>
            </w:r>
          </w:p>
        </w:tc>
        <w:tc>
          <w:tcPr>
            <w:tcW w:type="dxa" w:w="312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An aging COBOL or Java codebase, a single-server application, or code only one person understands. Every feature takes longer, and every deployment carries risk.</w:t>
            </w:r>
          </w:p>
        </w:tc>
      </w:tr>
      <w:tr>
        <w:tc>
          <w:tcPr>
            <w:tcW w:type="dxa" w:w="312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We consolidate data from legacy sources onto a governed modern platform, running old and new side by side until the numbers reconcile. We brought a retailer’s SAP ERP, SAP BW and application databases into a single Snowflake source of truth for reporting, analytics, data science and AI.</w:t>
            </w:r>
          </w:p>
        </w:tc>
        <w:tc>
          <w:tcPr>
            <w:tcW w:type="dxa" w:w="312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In two weeks, we show you which systems block your priorities, which can be opened up with an API instead of migrated, and which to leave alone. Budget goes to the few changes that unlock the plan.</w:t>
            </w:r>
          </w:p>
        </w:tc>
        <w:tc>
          <w:tcPr>
            <w:tcW w:type="dxa" w:w="312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We modernize and migrate applications alongside your team, using AI-assisted engineering to work through unfamiliar code faster. We migrated a financial services firm’s COBOL code to Java with AI, and brought a national immunization platform used by 4,000+ frontline health workers from Java 8 onto a modern Java release.</w:t>
            </w:r>
          </w:p>
        </w:tc>
      </w:tr>
      <w:tr>
        <w:tc>
          <w:tcPr>
            <w:tcW w:type="dxa" w:w="312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Map my data sources →</w:t>
            </w:r>
          </w:p>
        </w:tc>
        <w:tc>
          <w:tcPr>
            <w:tcW w:type="dxa" w:w="312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Get a prioritized plan →</w:t>
            </w:r>
          </w:p>
        </w:tc>
        <w:tc>
          <w:tcPr>
            <w:tcW w:type="dxa" w:w="312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Triage one system →</w:t>
            </w:r>
          </w:p>
        </w:tc>
      </w:tr>
    </w:tbl>
    <w:p>
      <w:pPr>
        <w:spacing w:after="80"/>
      </w:pPr>
      <w:r>
        <w:rPr>
          <w:sz w:val="2"/>
          <w:szCs w:val="2"/>
        </w:rPr>
        <w:t xml:space="preserve"/>
      </w:r>
    </w:p>
    <w:p>
      <w:pPr>
        <w:spacing w:after="160" w:before="80"/>
      </w:pPr>
      <w:r>
        <w:rPr>
          <w:rFonts w:ascii="Calibri" w:cs="Calibri" w:eastAsia="Calibri" w:hAnsi="Calibri"/>
          <w:b/>
          <w:bCs/>
          <w:color w:val="5A5A6E"/>
          <w:sz w:val="19"/>
          <w:szCs w:val="19"/>
        </w:rPr>
        <w:t xml:space="preserve">Build note. </w:t>
      </w:r>
      <w:r>
        <w:rPr>
          <w:rFonts w:ascii="Calibri" w:cs="Calibri" w:eastAsia="Calibri" w:hAnsi="Calibri"/>
          <w:i/>
          <w:iCs/>
          <w:color w:val="5A5A6E"/>
          <w:sz w:val="19"/>
          <w:szCs w:val="19"/>
        </w:rPr>
        <w:t xml:space="preserve">Cards 1 and 2 open the Discovery form; card 3 opens the Triage form. Each CTA passes a hidden "role" value (data / leadership / engineering) so the lead arrives tagged. Card copy is final: headline, problem, what we do, CTA.</w:t>
      </w:r>
    </w:p>
    <w:p>
      <w:pPr>
        <w:pStyle w:val="Heading2"/>
        <w:spacing w:after="140" w:before="300"/>
      </w:pPr>
      <w:r>
        <w:rPr>
          <w:rFonts w:ascii="Calibri" w:cs="Calibri" w:eastAsia="Calibri" w:hAnsi="Calibri"/>
          <w:b/>
          <w:bCs/>
          <w:color w:val="2E5AAC"/>
          <w:sz w:val="26"/>
          <w:szCs w:val="26"/>
        </w:rPr>
        <w:t xml:space="preserve">3.2 Definition  —  #what-is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What Is Legacy System Modernization?</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BODY</w:t>
            </w:r>
          </w:p>
          <w:p>
            <w:pPr>
              <w:spacing w:after="60"/>
            </w:pPr>
            <w:r>
              <w:rPr>
                <w:rFonts w:ascii="Calibri" w:cs="Calibri" w:eastAsia="Calibri" w:hAnsi="Calibri"/>
                <w:sz w:val="21"/>
                <w:szCs w:val="21"/>
              </w:rPr>
              <w:t xml:space="preserve">Legacy system modernization is the process of updating or replacing aging software and infrastructure — core applications, databases and the platforms they run on — so they can be maintained, secured, integrated and scaled again. It ranges from moving a system to new infrastructure unchanged, to re-architecting it, to retiring it entirely.</w:t>
            </w:r>
          </w:p>
          <w:p>
            <w:pPr>
              <w:spacing w:after="60"/>
            </w:pPr>
            <w:r>
              <w:rPr>
                <w:rFonts w:ascii="Calibri" w:cs="Calibri" w:eastAsia="Calibri" w:hAnsi="Calibri"/>
                <w:sz w:val="21"/>
                <w:szCs w:val="21"/>
              </w:rPr>
              <w:t xml:space="preserve"/>
            </w:r>
          </w:p>
          <w:p>
            <w:pPr>
              <w:spacing w:after="60"/>
            </w:pPr>
            <w:r>
              <w:rPr>
                <w:rFonts w:ascii="Calibri" w:cs="Calibri" w:eastAsia="Calibri" w:hAnsi="Calibri"/>
                <w:sz w:val="21"/>
                <w:szCs w:val="21"/>
              </w:rPr>
              <w:t xml:space="preserve">Modernization isn’t the same as replacement. Most programs combine several approaches across a portfolio: some systems move as they are, some are restructured, some are replaced with off-the-shelf software — and some are left exactly where they are.</w:t>
            </w:r>
          </w:p>
        </w:tc>
      </w:tr>
    </w:tbl>
    <w:p>
      <w:pPr>
        <w:spacing w:after="160" w:before="80"/>
      </w:pPr>
      <w:r>
        <w:rPr>
          <w:rFonts w:ascii="Calibri" w:cs="Calibri" w:eastAsia="Calibri" w:hAnsi="Calibri"/>
          <w:b/>
          <w:bCs/>
          <w:color w:val="5A5A6E"/>
          <w:sz w:val="19"/>
          <w:szCs w:val="19"/>
        </w:rPr>
        <w:t xml:space="preserve">Design note. </w:t>
      </w:r>
      <w:r>
        <w:rPr>
          <w:rFonts w:ascii="Calibri" w:cs="Calibri" w:eastAsia="Calibri" w:hAnsi="Calibri"/>
          <w:i/>
          <w:iCs/>
          <w:color w:val="5A5A6E"/>
          <w:sz w:val="19"/>
          <w:szCs w:val="19"/>
        </w:rPr>
        <w:t xml:space="preserve">Plain body text at readable size. The first paragraph is exactly 50 words so answer engines can quote it whole.</w:t>
      </w:r>
    </w:p>
    <w:p>
      <w:pPr>
        <w:pStyle w:val="Heading2"/>
        <w:spacing w:after="140" w:before="300"/>
      </w:pPr>
      <w:r>
        <w:rPr>
          <w:rFonts w:ascii="Calibri" w:cs="Calibri" w:eastAsia="Calibri" w:hAnsi="Calibri"/>
          <w:b/>
          <w:bCs/>
          <w:color w:val="2E5AAC"/>
          <w:sz w:val="26"/>
          <w:szCs w:val="26"/>
        </w:rPr>
        <w:t xml:space="preserve">3.3 Signs  —  #signs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When Does a Legacy System Need Modernizing?</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BODY</w:t>
            </w:r>
          </w:p>
          <w:p>
            <w:pPr>
              <w:spacing w:after="60"/>
            </w:pPr>
            <w:r>
              <w:rPr>
                <w:rFonts w:ascii="Calibri" w:cs="Calibri" w:eastAsia="Calibri" w:hAnsi="Calibri"/>
                <w:sz w:val="21"/>
                <w:szCs w:val="21"/>
              </w:rPr>
              <w:t xml:space="preserve">Age alone isn’t the reason. These are:</w:t>
            </w:r>
          </w:p>
          <w:p>
            <w:pPr>
              <w:spacing w:after="60"/>
            </w:pPr>
            <w:r>
              <w:rPr>
                <w:rFonts w:ascii="Calibri" w:cs="Calibri" w:eastAsia="Calibri" w:hAnsi="Calibri"/>
                <w:sz w:val="21"/>
                <w:szCs w:val="21"/>
              </w:rPr>
              <w:t xml:space="preserve"/>
            </w:r>
          </w:p>
          <w:p>
            <w:pPr>
              <w:spacing w:after="60"/>
            </w:pPr>
            <w:r>
              <w:rPr>
                <w:rFonts w:ascii="Calibri" w:cs="Calibri" w:eastAsia="Calibri" w:hAnsi="Calibri"/>
                <w:sz w:val="21"/>
                <w:szCs w:val="21"/>
              </w:rPr>
              <w:t xml:space="preserve">• Reports from different systems don’t agree, and nobody can say which one is right.</w:t>
            </w:r>
          </w:p>
          <w:p>
            <w:pPr>
              <w:spacing w:after="60"/>
            </w:pPr>
            <w:r>
              <w:rPr>
                <w:rFonts w:ascii="Calibri" w:cs="Calibri" w:eastAsia="Calibri" w:hAnsi="Calibri"/>
                <w:sz w:val="21"/>
                <w:szCs w:val="21"/>
              </w:rPr>
              <w:t xml:space="preserve">• Your data team works from manual exports because there’s no reliable feed or API.</w:t>
            </w:r>
          </w:p>
          <w:p>
            <w:pPr>
              <w:spacing w:after="60"/>
            </w:pPr>
            <w:r>
              <w:rPr>
                <w:rFonts w:ascii="Calibri" w:cs="Calibri" w:eastAsia="Calibri" w:hAnsi="Calibri"/>
                <w:sz w:val="21"/>
                <w:szCs w:val="21"/>
              </w:rPr>
              <w:t xml:space="preserve">• Connecting anything new means a custom, point-to-point build, every time.</w:t>
            </w:r>
          </w:p>
          <w:p>
            <w:pPr>
              <w:spacing w:after="60"/>
            </w:pPr>
            <w:r>
              <w:rPr>
                <w:rFonts w:ascii="Calibri" w:cs="Calibri" w:eastAsia="Calibri" w:hAnsi="Calibri"/>
                <w:sz w:val="21"/>
                <w:szCs w:val="21"/>
              </w:rPr>
              <w:t xml:space="preserve">• Every change depends on one or two people who still understand the code.</w:t>
            </w:r>
          </w:p>
          <w:p>
            <w:pPr>
              <w:spacing w:after="60"/>
            </w:pPr>
            <w:r>
              <w:rPr>
                <w:rFonts w:ascii="Calibri" w:cs="Calibri" w:eastAsia="Calibri" w:hAnsi="Calibri"/>
                <w:sz w:val="21"/>
                <w:szCs w:val="21"/>
              </w:rPr>
              <w:t xml:space="preserve">• Security can’t patch the system without breaking something — or it’s already out of vendor support.</w:t>
            </w:r>
          </w:p>
          <w:p>
            <w:pPr>
              <w:spacing w:after="60"/>
            </w:pPr>
            <w:r>
              <w:rPr>
                <w:rFonts w:ascii="Calibri" w:cs="Calibri" w:eastAsia="Calibri" w:hAnsi="Calibri"/>
                <w:sz w:val="21"/>
                <w:szCs w:val="21"/>
              </w:rPr>
              <w:t xml:space="preserve">• An AI or analytics initiative stalled because it couldn’t reach the data or trigger the process it needed.</w:t>
            </w:r>
          </w:p>
          <w:p>
            <w:pPr>
              <w:spacing w:after="60"/>
            </w:pPr>
            <w:r>
              <w:rPr>
                <w:rFonts w:ascii="Calibri" w:cs="Calibri" w:eastAsia="Calibri" w:hAnsi="Calibri"/>
                <w:sz w:val="21"/>
                <w:szCs w:val="21"/>
              </w:rPr>
              <w:t xml:space="preserve"/>
            </w:r>
          </w:p>
          <w:p>
            <w:pPr>
              <w:spacing w:after="60"/>
            </w:pPr>
            <w:r>
              <w:rPr>
                <w:rFonts w:ascii="Calibri" w:cs="Calibri" w:eastAsia="Calibri" w:hAnsi="Calibri"/>
                <w:sz w:val="21"/>
                <w:szCs w:val="21"/>
              </w:rPr>
              <w:t xml:space="preserve">One of these is a maintenance problem. Several at once is a strategic one.</w:t>
            </w:r>
          </w:p>
        </w:tc>
      </w:tr>
    </w:tbl>
    <w:p>
      <w:pPr>
        <w:spacing w:after="160" w:before="80"/>
      </w:pPr>
      <w:r>
        <w:rPr>
          <w:rFonts w:ascii="Calibri" w:cs="Calibri" w:eastAsia="Calibri" w:hAnsi="Calibri"/>
          <w:b/>
          <w:bCs/>
          <w:color w:val="5A5A6E"/>
          <w:sz w:val="19"/>
          <w:szCs w:val="19"/>
        </w:rPr>
        <w:t xml:space="preserve">Build note. </w:t>
      </w:r>
      <w:r>
        <w:rPr>
          <w:rFonts w:ascii="Calibri" w:cs="Calibri" w:eastAsia="Calibri" w:hAnsi="Calibri"/>
          <w:i/>
          <w:iCs/>
          <w:color w:val="5A5A6E"/>
          <w:sz w:val="19"/>
          <w:szCs w:val="19"/>
        </w:rPr>
        <w:t xml:space="preserve">Render the six signs as a real HTML bullet list, not as the bullet characters shown here.</w:t>
      </w:r>
    </w:p>
    <w:p>
      <w:r>
        <w:br w:type="page"/>
      </w:r>
    </w:p>
    <w:p>
      <w:pPr>
        <w:pStyle w:val="Heading2"/>
        <w:spacing w:after="140" w:before="300"/>
      </w:pPr>
      <w:r>
        <w:rPr>
          <w:rFonts w:ascii="Calibri" w:cs="Calibri" w:eastAsia="Calibri" w:hAnsi="Calibri"/>
          <w:b/>
          <w:bCs/>
          <w:color w:val="2E5AAC"/>
          <w:sz w:val="26"/>
          <w:szCs w:val="26"/>
        </w:rPr>
        <w:t xml:space="preserve">3.4 Approaches  —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Which Modernization Approach Is Right for Your System?</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INTRO</w:t>
            </w:r>
          </w:p>
          <w:p>
            <w:pPr>
              <w:spacing w:after="60"/>
            </w:pPr>
            <w:r>
              <w:rPr>
                <w:rFonts w:ascii="Calibri" w:cs="Calibri" w:eastAsia="Calibri" w:hAnsi="Calibri"/>
                <w:sz w:val="21"/>
                <w:szCs w:val="21"/>
              </w:rPr>
              <w:t xml:space="preserve">Choose by what the system needs to do next — not by how old it is.</w:t>
            </w:r>
          </w:p>
        </w:tc>
      </w:tr>
    </w:tbl>
    <w:p>
      <w:pPr>
        <w:spacing w:after="8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960"/>
        <w:gridCol w:w="2500"/>
      </w:tblGrid>
      <w:tr>
        <w:trPr>
          <w:tblHeader/>
        </w:trPr>
        <w:tc>
          <w:tcPr>
            <w:tcW w:type="dxa" w:w="15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Approach</w:t>
            </w:r>
          </w:p>
        </w:tc>
        <w:tc>
          <w:tcPr>
            <w:tcW w:type="dxa" w:w="24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What changes</w:t>
            </w:r>
          </w:p>
        </w:tc>
        <w:tc>
          <w:tcPr>
            <w:tcW w:type="dxa" w:w="29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Choose it when</w:t>
            </w:r>
          </w:p>
        </w:tc>
        <w:tc>
          <w:tcPr>
            <w:tcW w:type="dxa" w:w="25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Watch out for</w:t>
            </w:r>
          </w:p>
        </w:tc>
      </w:tr>
      <w:tr>
        <w:tc>
          <w:tcPr>
            <w:tcW w:type="dxa" w:w="1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Retain</w:t>
            </w:r>
          </w:p>
        </w:tc>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Nothing, for now</w:t>
            </w:r>
          </w:p>
        </w:tc>
        <w:tc>
          <w:tcPr>
            <w:tcW w:type="dxa" w:w="2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The system is stable, supported and not blocking anything</w:t>
            </w:r>
          </w:p>
        </w:tc>
        <w:tc>
          <w:tcPr>
            <w:tcW w:type="dxa" w:w="2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Revisit on a schedule; "for now" shouldn’t become "forever"</w:t>
            </w:r>
          </w:p>
        </w:tc>
      </w:tr>
      <w:tr>
        <w:tc>
          <w:tcPr>
            <w:tcW w:type="dxa" w:w="1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Retire</w:t>
            </w:r>
          </w:p>
        </w:tc>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The system is switched off</w:t>
            </w:r>
          </w:p>
        </w:tc>
        <w:tc>
          <w:tcPr>
            <w:tcW w:type="dxa" w:w="2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Its functions are duplicated elsewhere or no longer used</w:t>
            </w:r>
          </w:p>
        </w:tc>
        <w:tc>
          <w:tcPr>
            <w:tcW w:type="dxa" w:w="2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Data retention and audit obligations</w:t>
            </w:r>
          </w:p>
        </w:tc>
      </w:tr>
      <w:tr>
        <w:tc>
          <w:tcPr>
            <w:tcW w:type="dxa" w:w="1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Rehost</w:t>
            </w:r>
          </w:p>
        </w:tc>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Where it runs — code is unchanged</w:t>
            </w:r>
          </w:p>
        </w:tc>
        <w:tc>
          <w:tcPr>
            <w:tcW w:type="dxa" w:w="2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Infrastructure is the problem: hardware end-of-life, data-center exit</w:t>
            </w:r>
          </w:p>
        </w:tc>
        <w:tc>
          <w:tcPr>
            <w:tcW w:type="dxa" w:w="2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Technical debt moves with it; no new integration capability</w:t>
            </w:r>
          </w:p>
        </w:tc>
      </w:tr>
      <w:tr>
        <w:tc>
          <w:tcPr>
            <w:tcW w:type="dxa" w:w="1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Replatform</w:t>
            </w:r>
          </w:p>
        </w:tc>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The runtime or database, with targeted changes</w:t>
            </w:r>
          </w:p>
        </w:tc>
        <w:tc>
          <w:tcPr>
            <w:tcW w:type="dxa" w:w="2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You want cloud operations benefits without rewriting</w:t>
            </w:r>
          </w:p>
        </w:tc>
        <w:tc>
          <w:tcPr>
            <w:tcW w:type="dxa" w:w="2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Scope creep into a refactor</w:t>
            </w:r>
          </w:p>
        </w:tc>
      </w:tr>
      <w:tr>
        <w:tc>
          <w:tcPr>
            <w:tcW w:type="dxa" w:w="1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Refactor</w:t>
            </w:r>
          </w:p>
        </w:tc>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Internal code structure — behavior stays the same</w:t>
            </w:r>
          </w:p>
        </w:tc>
        <w:tc>
          <w:tcPr>
            <w:tcW w:type="dxa" w:w="2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The design holds, but the code is slow, fragile or hard to change</w:t>
            </w:r>
          </w:p>
        </w:tc>
        <w:tc>
          <w:tcPr>
            <w:tcW w:type="dxa" w:w="2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Needs strong test coverage first</w:t>
            </w:r>
          </w:p>
        </w:tc>
      </w:tr>
      <w:tr>
        <w:tc>
          <w:tcPr>
            <w:tcW w:type="dxa" w:w="1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Re-architect</w:t>
            </w:r>
          </w:p>
        </w:tc>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The system’s structure — services, APIs, event streams</w:t>
            </w:r>
          </w:p>
        </w:tc>
        <w:tc>
          <w:tcPr>
            <w:tcW w:type="dxa" w:w="2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The structure itself prevents scaling or integration</w:t>
            </w:r>
          </w:p>
        </w:tc>
        <w:tc>
          <w:tcPr>
            <w:tcW w:type="dxa" w:w="2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The highest-risk option; phase it</w:t>
            </w:r>
          </w:p>
        </w:tc>
      </w:tr>
      <w:tr>
        <w:tc>
          <w:tcPr>
            <w:tcW w:type="dxa" w:w="1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Rebuild</w:t>
            </w:r>
          </w:p>
        </w:tc>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Everything, from scratch</w:t>
            </w:r>
          </w:p>
        </w:tc>
        <w:tc>
          <w:tcPr>
            <w:tcW w:type="dxa" w:w="2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Business rules are well understood and the platform is a dead end</w:t>
            </w:r>
          </w:p>
        </w:tc>
        <w:tc>
          <w:tcPr>
            <w:tcW w:type="dxa" w:w="2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Hidden rules in old code get lost</w:t>
            </w:r>
          </w:p>
        </w:tc>
      </w:tr>
      <w:tr>
        <w:tc>
          <w:tcPr>
            <w:tcW w:type="dxa" w:w="1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Replace</w:t>
            </w:r>
          </w:p>
        </w:tc>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Swapped for off-the-shelf software</w:t>
            </w:r>
          </w:p>
        </w:tc>
        <w:tc>
          <w:tcPr>
            <w:tcW w:type="dxa" w:w="2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The function is a commodity — HR, CRM, standard finance</w:t>
            </w:r>
          </w:p>
        </w:tc>
        <w:tc>
          <w:tcPr>
            <w:tcW w:type="dxa" w:w="2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Customizations that made the old system fit</w:t>
            </w:r>
          </w:p>
        </w:tc>
      </w:tr>
    </w:tbl>
    <w:p>
      <w:pPr>
        <w:spacing w:after="1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CALLOUT BELOW THE TABLE</w:t>
            </w:r>
          </w:p>
          <w:p>
            <w:pPr>
              <w:spacing w:after="60"/>
            </w:pPr>
            <w:r>
              <w:rPr>
                <w:rFonts w:ascii="Calibri" w:cs="Calibri" w:eastAsia="Calibri" w:hAnsi="Calibri"/>
                <w:sz w:val="21"/>
                <w:szCs w:val="21"/>
              </w:rPr>
              <w:t xml:space="preserve">Often overlooked: if a system is sound but hard to reach, add an API layer. New applications and AI can use it straight away, and you can migrate behind that layer later — or not at all.</w:t>
            </w:r>
          </w:p>
        </w:tc>
      </w:tr>
    </w:tbl>
    <w:p>
      <w:pPr>
        <w:pStyle w:val="Heading2"/>
        <w:spacing w:after="140" w:before="300"/>
      </w:pPr>
      <w:r>
        <w:rPr>
          <w:rFonts w:ascii="Calibri" w:cs="Calibri" w:eastAsia="Calibri" w:hAnsi="Calibri"/>
          <w:b/>
          <w:bCs/>
          <w:color w:val="2E5AAC"/>
          <w:sz w:val="26"/>
          <w:szCs w:val="26"/>
        </w:rPr>
        <w:t xml:space="preserve">3.5 What to leave alone  —  #leave-alone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Which Legacy Systems Should You Not Modernize?</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BODY</w:t>
            </w:r>
          </w:p>
          <w:p>
            <w:pPr>
              <w:spacing w:after="60"/>
            </w:pPr>
            <w:r>
              <w:rPr>
                <w:rFonts w:ascii="Calibri" w:cs="Calibri" w:eastAsia="Calibri" w:hAnsi="Calibri"/>
                <w:sz w:val="21"/>
                <w:szCs w:val="21"/>
              </w:rPr>
              <w:t xml:space="preserve">Not every old system is a problem. Modernizing one that works spends budget and adds risk without buying a new capability.</w:t>
            </w:r>
          </w:p>
          <w:p>
            <w:pPr>
              <w:spacing w:after="60"/>
            </w:pPr>
            <w:r>
              <w:rPr>
                <w:rFonts w:ascii="Calibri" w:cs="Calibri" w:eastAsia="Calibri" w:hAnsi="Calibri"/>
                <w:sz w:val="21"/>
                <w:szCs w:val="21"/>
              </w:rPr>
              <w:t xml:space="preserve"/>
            </w:r>
          </w:p>
          <w:p>
            <w:pPr>
              <w:spacing w:after="60"/>
            </w:pPr>
            <w:r>
              <w:rPr>
                <w:rFonts w:ascii="Calibri" w:cs="Calibri" w:eastAsia="Calibri" w:hAnsi="Calibri"/>
                <w:sz w:val="21"/>
                <w:szCs w:val="21"/>
              </w:rPr>
              <w:t xml:space="preserve">Leave a system where it is when all of these are true:</w:t>
            </w:r>
          </w:p>
          <w:p>
            <w:pPr>
              <w:spacing w:after="60"/>
            </w:pPr>
            <w:r>
              <w:rPr>
                <w:rFonts w:ascii="Calibri" w:cs="Calibri" w:eastAsia="Calibri" w:hAnsi="Calibri"/>
                <w:sz w:val="21"/>
                <w:szCs w:val="21"/>
              </w:rPr>
              <w:t xml:space="preserve">• It’s stable and rarely needs to change</w:t>
            </w:r>
          </w:p>
          <w:p>
            <w:pPr>
              <w:spacing w:after="60"/>
            </w:pPr>
            <w:r>
              <w:rPr>
                <w:rFonts w:ascii="Calibri" w:cs="Calibri" w:eastAsia="Calibri" w:hAnsi="Calibri"/>
                <w:sz w:val="21"/>
                <w:szCs w:val="21"/>
              </w:rPr>
              <w:t xml:space="preserve">• It’s within vendor support and can be patched</w:t>
            </w:r>
          </w:p>
          <w:p>
            <w:pPr>
              <w:spacing w:after="60"/>
            </w:pPr>
            <w:r>
              <w:rPr>
                <w:rFonts w:ascii="Calibri" w:cs="Calibri" w:eastAsia="Calibri" w:hAnsi="Calibri"/>
                <w:sz w:val="21"/>
                <w:szCs w:val="21"/>
              </w:rPr>
              <w:t xml:space="preserve">• Nothing new needs to integrate with it</w:t>
            </w:r>
          </w:p>
          <w:p>
            <w:pPr>
              <w:spacing w:after="60"/>
            </w:pPr>
            <w:r>
              <w:rPr>
                <w:rFonts w:ascii="Calibri" w:cs="Calibri" w:eastAsia="Calibri" w:hAnsi="Calibri"/>
                <w:sz w:val="21"/>
                <w:szCs w:val="21"/>
              </w:rPr>
              <w:t xml:space="preserve">• The data it holds is already accessible to the people and systems that need it</w:t>
            </w:r>
          </w:p>
          <w:p>
            <w:pPr>
              <w:spacing w:after="60"/>
            </w:pPr>
            <w:r>
              <w:rPr>
                <w:rFonts w:ascii="Calibri" w:cs="Calibri" w:eastAsia="Calibri" w:hAnsi="Calibri"/>
                <w:sz w:val="21"/>
                <w:szCs w:val="21"/>
              </w:rPr>
              <w:t xml:space="preserve"/>
            </w:r>
          </w:p>
          <w:p>
            <w:pPr>
              <w:spacing w:after="60"/>
            </w:pPr>
            <w:r>
              <w:rPr>
                <w:rFonts w:ascii="Calibri" w:cs="Calibri" w:eastAsia="Calibri" w:hAnsi="Calibri"/>
                <w:sz w:val="21"/>
                <w:szCs w:val="21"/>
              </w:rPr>
              <w:t xml:space="preserve">If a system passes every test but one — usually "nothing needs to integrate with it" — the answer is typically an API layer, not a migration.</w:t>
            </w:r>
          </w:p>
          <w:p>
            <w:pPr>
              <w:spacing w:after="60"/>
            </w:pPr>
            <w:r>
              <w:rPr>
                <w:rFonts w:ascii="Calibri" w:cs="Calibri" w:eastAsia="Calibri" w:hAnsi="Calibri"/>
                <w:sz w:val="21"/>
                <w:szCs w:val="21"/>
              </w:rPr>
              <w:t xml:space="preserve"/>
            </w:r>
          </w:p>
          <w:p>
            <w:pPr>
              <w:spacing w:after="60"/>
            </w:pPr>
            <w:r>
              <w:rPr>
                <w:rFonts w:ascii="Calibri" w:cs="Calibri" w:eastAsia="Calibri" w:hAnsi="Calibri"/>
                <w:sz w:val="21"/>
                <w:szCs w:val="21"/>
              </w:rPr>
              <w:t xml:space="preserve">We’ll tell you this in discovery. If an assessment recommends modernizing everything, question it.</w:t>
            </w:r>
          </w:p>
        </w:tc>
      </w:tr>
    </w:tbl>
    <w:p>
      <w:pPr>
        <w:spacing w:after="160" w:before="80"/>
      </w:pPr>
      <w:r>
        <w:rPr>
          <w:rFonts w:ascii="Calibri" w:cs="Calibri" w:eastAsia="Calibri" w:hAnsi="Calibri"/>
          <w:b/>
          <w:bCs/>
          <w:color w:val="5A5A6E"/>
          <w:sz w:val="19"/>
          <w:szCs w:val="19"/>
        </w:rPr>
        <w:t xml:space="preserve">Why this section exists. </w:t>
      </w:r>
      <w:r>
        <w:rPr>
          <w:rFonts w:ascii="Calibri" w:cs="Calibri" w:eastAsia="Calibri" w:hAnsi="Calibri"/>
          <w:i/>
          <w:iCs/>
          <w:color w:val="5A5A6E"/>
          <w:sz w:val="19"/>
          <w:szCs w:val="19"/>
        </w:rPr>
        <w:t xml:space="preserve">No competitor reviewed tells buyers what not to modernize. It is the most trust-building statement a vendor can make, and it is an unanswered question for AI search.</w:t>
      </w:r>
    </w:p>
    <w:p>
      <w:r>
        <w:br w:type="page"/>
      </w:r>
    </w:p>
    <w:p>
      <w:pPr>
        <w:pStyle w:val="Heading2"/>
        <w:spacing w:after="140" w:before="300"/>
      </w:pPr>
      <w:r>
        <w:rPr>
          <w:rFonts w:ascii="Calibri" w:cs="Calibri" w:eastAsia="Calibri" w:hAnsi="Calibri"/>
          <w:b/>
          <w:bCs/>
          <w:color w:val="2E5AAC"/>
          <w:sz w:val="26"/>
          <w:szCs w:val="26"/>
        </w:rPr>
        <w:t xml:space="preserve">3.6 Modernizing for AI  —  #for-ai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Why Modernize Legacy Systems for AI?</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BODY</w:t>
            </w:r>
          </w:p>
          <w:p>
            <w:pPr>
              <w:spacing w:after="60"/>
            </w:pPr>
            <w:r>
              <w:rPr>
                <w:rFonts w:ascii="Calibri" w:cs="Calibri" w:eastAsia="Calibri" w:hAnsi="Calibri"/>
                <w:sz w:val="21"/>
                <w:szCs w:val="21"/>
              </w:rPr>
              <w:t xml:space="preserve">AI can only use what it can reach. A model needs clean, current data. An AI agent needs functions it can call to take action. Both need systems that respond reliably at the volume automation creates. Most legacy systems were built for human operators and overnight batches — not for any of that.</w:t>
            </w:r>
          </w:p>
        </w:tc>
      </w:tr>
    </w:tbl>
    <w:p>
      <w:pPr>
        <w:spacing w:after="8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What AI needs</w:t>
            </w:r>
          </w:p>
        </w:tc>
        <w:tc>
          <w:tcPr>
            <w:tcW w:type="dxa" w:w="338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Typical legacy blocker</w:t>
            </w:r>
          </w:p>
        </w:tc>
        <w:tc>
          <w:tcPr>
            <w:tcW w:type="dxa" w:w="338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Modernization move</w:t>
            </w:r>
          </w:p>
        </w:tc>
      </w:tr>
      <w:tr>
        <w:tc>
          <w:tcPr>
            <w:tcW w:type="dxa" w:w="2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Data it can read</w:t>
            </w:r>
          </w:p>
        </w:tc>
        <w:tc>
          <w:tcPr>
            <w:tcW w:type="dxa" w:w="33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Batch exports, siloed databases, no single source of truth</w:t>
            </w:r>
          </w:p>
        </w:tc>
        <w:tc>
          <w:tcPr>
            <w:tcW w:type="dxa" w:w="33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Migrate to a modern data platform with governed pipelines</w:t>
            </w:r>
          </w:p>
        </w:tc>
      </w:tr>
      <w:tr>
        <w:tc>
          <w:tcPr>
            <w:tcW w:type="dxa" w:w="2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Actions it can take</w:t>
            </w:r>
          </w:p>
        </w:tc>
        <w:tc>
          <w:tcPr>
            <w:tcW w:type="dxa" w:w="33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Business logic trapped behind screens, no APIs</w:t>
            </w:r>
          </w:p>
        </w:tc>
        <w:tc>
          <w:tcPr>
            <w:tcW w:type="dxa" w:w="33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Add an API layer, then re-architect if needed</w:t>
            </w:r>
          </w:p>
        </w:tc>
      </w:tr>
      <w:tr>
        <w:tc>
          <w:tcPr>
            <w:tcW w:type="dxa" w:w="2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Reliable response at machine volume</w:t>
            </w:r>
          </w:p>
        </w:tc>
        <w:tc>
          <w:tcPr>
            <w:tcW w:type="dxa" w:w="33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Single server, fixed capacity, overnight batch jobs</w:t>
            </w:r>
          </w:p>
        </w:tc>
        <w:tc>
          <w:tcPr>
            <w:tcW w:type="dxa" w:w="33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Rehost or replatform to scalable cloud infrastructure</w:t>
            </w:r>
          </w:p>
        </w:tc>
      </w:tr>
    </w:tbl>
    <w:p>
      <w:pPr>
        <w:spacing w:after="1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CLOSING BODY</w:t>
            </w:r>
          </w:p>
          <w:p>
            <w:pPr>
              <w:spacing w:after="60"/>
            </w:pPr>
            <w:r>
              <w:rPr>
                <w:rFonts w:ascii="Calibri" w:cs="Calibri" w:eastAsia="Calibri" w:hAnsi="Calibri"/>
                <w:sz w:val="21"/>
                <w:szCs w:val="21"/>
              </w:rPr>
              <w:t xml:space="preserve">The fastest route is often not a migration at all. Exposing a sound core system through APIs can unblock an AI initiative far sooner — and leaves the bigger modernization decision for when you have evidence.</w:t>
            </w:r>
          </w:p>
        </w:tc>
      </w:tr>
    </w:tbl>
    <w:p>
      <w:pPr>
        <w:spacing w:after="160" w:before="80"/>
      </w:pPr>
      <w:r>
        <w:rPr>
          <w:rFonts w:ascii="Calibri" w:cs="Calibri" w:eastAsia="Calibri" w:hAnsi="Calibri"/>
          <w:b/>
          <w:bCs/>
          <w:color w:val="5A5A6E"/>
          <w:sz w:val="19"/>
          <w:szCs w:val="19"/>
        </w:rPr>
        <w:t xml:space="preserve">Links. </w:t>
      </w:r>
      <w:r>
        <w:rPr>
          <w:rFonts w:ascii="Calibri" w:cs="Calibri" w:eastAsia="Calibri" w:hAnsi="Calibri"/>
          <w:i/>
          <w:iCs/>
          <w:color w:val="5A5A6E"/>
          <w:sz w:val="19"/>
          <w:szCs w:val="19"/>
        </w:rPr>
        <w:t xml:space="preserve">"AI initiative" → Applied AI Solutions pillar · "modern data platform" → /services/data-analytics · section footer → /services/digital-transformation, anchor text "the infrastructure underneath AI".</w:t>
      </w:r>
    </w:p>
    <w:p>
      <w:pPr>
        <w:pStyle w:val="Heading2"/>
        <w:spacing w:after="140" w:before="300"/>
      </w:pPr>
      <w:r>
        <w:rPr>
          <w:rFonts w:ascii="Calibri" w:cs="Calibri" w:eastAsia="Calibri" w:hAnsi="Calibri"/>
          <w:b/>
          <w:bCs/>
          <w:color w:val="2E5AAC"/>
          <w:sz w:val="26"/>
          <w:szCs w:val="26"/>
        </w:rPr>
        <w:t xml:space="preserve">3.7 Process  —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How Does a Legacy Modernization Project Work?</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INTRO</w:t>
            </w:r>
          </w:p>
          <w:p>
            <w:pPr>
              <w:spacing w:after="60"/>
            </w:pPr>
            <w:r>
              <w:rPr>
                <w:rFonts w:ascii="Calibri" w:cs="Calibri" w:eastAsia="Calibri" w:hAnsi="Calibri"/>
                <w:sz w:val="21"/>
                <w:szCs w:val="21"/>
              </w:rPr>
              <w:t xml:space="preserve">Every engagement starts with a two-week discovery. Then we plan, and modernize in phases — so the business never waits on a single cutover.</w:t>
            </w:r>
          </w:p>
        </w:tc>
      </w:tr>
    </w:tbl>
    <w:p>
      <w:pPr>
        <w:spacing w:after="8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060"/>
        <w:gridCol w:w="3000"/>
      </w:tblGrid>
      <w:tr>
        <w:trPr>
          <w:tblHeader/>
        </w:trPr>
        <w:tc>
          <w:tcPr>
            <w:tcW w:type="dxa" w:w="23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Stage</w:t>
            </w:r>
          </w:p>
        </w:tc>
        <w:tc>
          <w:tcPr>
            <w:tcW w:type="dxa" w:w="40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What happens</w:t>
            </w:r>
          </w:p>
        </w:tc>
        <w:tc>
          <w:tcPr>
            <w:tcW w:type="dxa" w:w="30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What you get</w:t>
            </w:r>
          </w:p>
        </w:tc>
      </w:tr>
      <w:tr>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1. Discovery — 2 weeks</w:t>
            </w:r>
          </w:p>
        </w:tc>
        <w:tc>
          <w:tcPr>
            <w:tcW w:type="dxa" w:w="4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Map the systems in scope, how they connect and where data flows. Identify the business rules and risks that matter most. Score each system on business criticality, change frequency and risk.</w:t>
            </w:r>
          </w:p>
        </w:tc>
        <w:tc>
          <w:tcPr>
            <w:tcW w:type="dxa" w:w="3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System and dependency map · risk register · a recommended approach for each system, including which to leave alone · a leadership readout on what to fund first, and why</w:t>
            </w:r>
          </w:p>
        </w:tc>
      </w:tr>
      <w:tr>
        <w:tc>
          <w:tcPr>
            <w:tcW w:type="dxa" w:w="2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2. Planning</w:t>
            </w:r>
          </w:p>
        </w:tc>
        <w:tc>
          <w:tcPr>
            <w:tcW w:type="dxa" w:w="4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Sequence the work by value and risk, define the phases, and decide what gets proven first.</w:t>
            </w:r>
          </w:p>
        </w:tc>
        <w:tc>
          <w:tcPr>
            <w:tcW w:type="dxa" w:w="3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 phased modernization plan and the scope for implementation</w:t>
            </w:r>
          </w:p>
        </w:tc>
      </w:tr>
      <w:tr>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3. Implementation: prove it</w:t>
            </w:r>
          </w:p>
        </w:tc>
        <w:tc>
          <w:tcPr>
            <w:tcW w:type="dxa" w:w="4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Modernize one bounded slice in production before scaling up.</w:t>
            </w:r>
          </w:p>
        </w:tc>
        <w:tc>
          <w:tcPr>
            <w:tcW w:type="dxa" w:w="3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 working first phase, and evidence the approach holds before larger budget is committed</w:t>
            </w:r>
          </w:p>
        </w:tc>
      </w:tr>
      <w:tr>
        <w:tc>
          <w:tcPr>
            <w:tcW w:type="dxa" w:w="2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4. Implementation: phased migration</w:t>
            </w:r>
          </w:p>
        </w:tc>
        <w:tc>
          <w:tcPr>
            <w:tcW w:type="dxa" w:w="4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Old and new run in parallel. Users or transactions move across in controlled stages, results are reconciled between both, and every phase has a rollback path.</w:t>
            </w:r>
          </w:p>
        </w:tc>
        <w:tc>
          <w:tcPr>
            <w:tcW w:type="dxa" w:w="3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Incremental releases, with the business running throughout</w:t>
            </w:r>
          </w:p>
        </w:tc>
      </w:tr>
      <w:tr>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5. Handover</w:t>
            </w:r>
          </w:p>
        </w:tc>
        <w:tc>
          <w:tcPr>
            <w:tcW w:type="dxa" w:w="4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Documentation and knowledge transfer.</w:t>
            </w:r>
          </w:p>
        </w:tc>
        <w:tc>
          <w:tcPr>
            <w:tcW w:type="dxa" w:w="3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Your team owns and runs the modernized system</w:t>
            </w:r>
          </w:p>
        </w:tc>
      </w:tr>
    </w:tbl>
    <w:p>
      <w:pPr>
        <w:spacing w:after="14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SUB-HEADING</w:t>
            </w:r>
          </w:p>
          <w:p>
            <w:pPr>
              <w:spacing w:after="60"/>
            </w:pPr>
            <w:r>
              <w:rPr>
                <w:rFonts w:ascii="Calibri" w:cs="Calibri" w:eastAsia="Calibri" w:hAnsi="Calibri"/>
                <w:sz w:val="21"/>
                <w:szCs w:val="21"/>
              </w:rPr>
              <w:t xml:space="preserve">What the Two-Week Discovery Gives You</w:t>
            </w:r>
          </w:p>
        </w:tc>
      </w:tr>
    </w:tbl>
    <w:p>
      <w:pPr>
        <w:spacing w:after="8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If you lead…</w:t>
            </w:r>
          </w:p>
        </w:tc>
        <w:tc>
          <w:tcPr>
            <w:tcW w:type="dxa" w:w="65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You leave discovery with</w:t>
            </w:r>
          </w:p>
        </w:tc>
      </w:tr>
      <w:tr>
        <w:tc>
          <w:tcPr>
            <w:tcW w:type="dxa" w:w="2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Data and analytics</w:t>
            </w:r>
          </w:p>
        </w:tc>
        <w:tc>
          <w:tcPr>
            <w:tcW w:type="dxa" w:w="65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 map of every legacy data source feeding your reports, where the numbers diverge, and a migration path that keeps existing reports running until the new ones reconcile</w:t>
            </w:r>
          </w:p>
        </w:tc>
      </w:tr>
      <w:tr>
        <w:tc>
          <w:tcPr>
            <w:tcW w:type="dxa" w:w="28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Technology or transformation</w:t>
            </w:r>
          </w:p>
        </w:tc>
        <w:tc>
          <w:tcPr>
            <w:tcW w:type="dxa" w:w="65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 prioritized view of which systems block your roadmap and AI plans, what each option costs in effort and risk, and a readout your leadership can act on</w:t>
            </w:r>
          </w:p>
        </w:tc>
      </w:tr>
      <w:tr>
        <w:tc>
          <w:tcPr>
            <w:tcW w:type="dxa" w:w="2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Engineering or platform</w:t>
            </w:r>
          </w:p>
        </w:tc>
        <w:tc>
          <w:tcPr>
            <w:tcW w:type="dxa" w:w="65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 technical approach for each application in scope, the first slice to modernize, and how the work fits alongside your team’s roadmap</w:t>
            </w:r>
          </w:p>
        </w:tc>
      </w:tr>
    </w:tbl>
    <w:p>
      <w:pPr>
        <w:spacing w:after="160" w:before="80"/>
      </w:pPr>
      <w:r>
        <w:rPr>
          <w:rFonts w:ascii="Calibri" w:cs="Calibri" w:eastAsia="Calibri" w:hAnsi="Calibri"/>
          <w:b/>
          <w:bCs/>
          <w:color w:val="5A5A6E"/>
          <w:sz w:val="19"/>
          <w:szCs w:val="19"/>
        </w:rPr>
        <w:t xml:space="preserve">Why this block exists. </w:t>
      </w:r>
      <w:r>
        <w:rPr>
          <w:rFonts w:ascii="Calibri" w:cs="Calibri" w:eastAsia="Calibri" w:hAnsi="Calibri"/>
          <w:i/>
          <w:iCs/>
          <w:color w:val="5A5A6E"/>
          <w:sz w:val="19"/>
          <w:szCs w:val="19"/>
        </w:rPr>
        <w:t xml:space="preserve">The discovery is the conversion point. Describing it in each buyer’s terms makes the first step concrete — the single biggest lever on booking rate.</w:t>
      </w:r>
    </w:p>
    <w:p>
      <w:r>
        <w:br w:type="page"/>
      </w:r>
    </w:p>
    <w:p>
      <w:pPr>
        <w:pStyle w:val="Heading2"/>
        <w:spacing w:after="140" w:before="300"/>
      </w:pPr>
      <w:r>
        <w:rPr>
          <w:rFonts w:ascii="Calibri" w:cs="Calibri" w:eastAsia="Calibri" w:hAnsi="Calibri"/>
          <w:b/>
          <w:bCs/>
          <w:color w:val="2E5AAC"/>
          <w:sz w:val="26"/>
          <w:szCs w:val="26"/>
        </w:rPr>
        <w:t xml:space="preserve">3.8 AI in modernization  —  #ai-assisted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What Can AI Actually Do in Legacy Modernization?</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BODY</w:t>
            </w:r>
          </w:p>
          <w:p>
            <w:pPr>
              <w:spacing w:after="60"/>
            </w:pPr>
            <w:r>
              <w:rPr>
                <w:rFonts w:ascii="Calibri" w:cs="Calibri" w:eastAsia="Calibri" w:hAnsi="Calibri"/>
                <w:sz w:val="21"/>
                <w:szCs w:val="21"/>
              </w:rPr>
              <w:t xml:space="preserve">AI speeds up the parts of modernization that are about understanding — reading unfamiliar code, documenting business rules, drafting tests and producing first-pass changes. It doesn’t remove the need to prove the new system behaves exactly like the old one. That proof is still where modernization succeeds or fails.</w:t>
            </w:r>
          </w:p>
          <w:p>
            <w:pPr>
              <w:spacing w:after="60"/>
            </w:pPr>
            <w:r>
              <w:rPr>
                <w:rFonts w:ascii="Calibri" w:cs="Calibri" w:eastAsia="Calibri" w:hAnsi="Calibri"/>
                <w:sz w:val="21"/>
                <w:szCs w:val="21"/>
              </w:rPr>
              <w:t xml:space="preserve"/>
            </w:r>
          </w:p>
          <w:p>
            <w:pPr>
              <w:spacing w:after="60"/>
            </w:pPr>
            <w:r>
              <w:rPr>
                <w:rFonts w:ascii="Calibri" w:cs="Calibri" w:eastAsia="Calibri" w:hAnsi="Calibri"/>
                <w:sz w:val="21"/>
                <w:szCs w:val="21"/>
              </w:rPr>
              <w:t xml:space="preserve">Our engineers use AI coding assistants, including Cursor and Claude, throughout modernization work. Every change they help produce is reviewed, tested and owned by an engineer. We used AI-assisted engineering to migrate a financial services firm’s COBOL code to Java.</w:t>
            </w:r>
          </w:p>
        </w:tc>
      </w:tr>
    </w:tbl>
    <w:p>
      <w:pPr>
        <w:spacing w:after="8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Where AI helps</w:t>
            </w:r>
          </w:p>
        </w:tc>
        <w:tc>
          <w:tcPr>
            <w:tcW w:type="dxa" w:w="468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What still needs engineers</w:t>
            </w:r>
          </w:p>
        </w:tc>
      </w:tr>
      <w:tr>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Reading and summarizing unfamiliar legacy code</w:t>
            </w:r>
          </w:p>
        </w:tc>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Confirming which behavior the business actually depends on</w:t>
            </w:r>
          </w:p>
        </w:tc>
      </w:tr>
      <w:tr>
        <w:tc>
          <w:tcPr>
            <w:tcW w:type="dxa" w:w="46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Drafting documentation of business rules</w:t>
            </w:r>
          </w:p>
        </w:tc>
        <w:tc>
          <w:tcPr>
            <w:tcW w:type="dxa" w:w="46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Validating those rules with the people who use the system</w:t>
            </w:r>
          </w:p>
        </w:tc>
      </w:tr>
      <w:tr>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Generating test cases from existing behavior</w:t>
            </w:r>
          </w:p>
        </w:tc>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Deciding what "equivalent" means, and signing it off</w:t>
            </w:r>
          </w:p>
        </w:tc>
      </w:tr>
      <w:tr>
        <w:tc>
          <w:tcPr>
            <w:tcW w:type="dxa" w:w="46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First-pass code changes and translation</w:t>
            </w:r>
          </w:p>
        </w:tc>
        <w:tc>
          <w:tcPr>
            <w:tcW w:type="dxa" w:w="46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Architecture, security review, performance under real load</w:t>
            </w:r>
          </w:p>
        </w:tc>
      </w:tr>
    </w:tbl>
    <w:p>
      <w:pPr>
        <w:spacing w:after="1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CLOSING LINE</w:t>
            </w:r>
          </w:p>
          <w:p>
            <w:pPr>
              <w:spacing w:after="60"/>
            </w:pPr>
            <w:r>
              <w:rPr>
                <w:rFonts w:ascii="Calibri" w:cs="Calibri" w:eastAsia="Calibri" w:hAnsi="Calibri"/>
                <w:sz w:val="21"/>
                <w:szCs w:val="21"/>
              </w:rPr>
              <w:t xml:space="preserve">Treat any promise of fully automatic conversion with caution: proving the new system behaves like the old one is still engineering work.</w:t>
            </w:r>
          </w:p>
        </w:tc>
      </w:tr>
    </w:tbl>
    <w:p>
      <w:pPr>
        <w:spacing w:after="160" w:before="80"/>
      </w:pPr>
      <w:r>
        <w:rPr>
          <w:rFonts w:ascii="Calibri" w:cs="Calibri" w:eastAsia="Calibri" w:hAnsi="Calibri"/>
          <w:b/>
          <w:bCs/>
          <w:color w:val="5A5A6E"/>
          <w:sz w:val="19"/>
          <w:szCs w:val="19"/>
        </w:rPr>
        <w:t xml:space="preserve">On naming the tools. </w:t>
      </w:r>
      <w:r>
        <w:rPr>
          <w:rFonts w:ascii="Calibri" w:cs="Calibri" w:eastAsia="Calibri" w:hAnsi="Calibri"/>
          <w:i/>
          <w:iCs/>
          <w:color w:val="5A5A6E"/>
          <w:sz w:val="19"/>
          <w:szCs w:val="19"/>
        </w:rPr>
        <w:t xml:space="preserve">Cursor and Claude are named because specificity is credible and machine-matchable. Naming them implies no partnership or endorsement — do not add their logos. Review the tool list when delivery practice changes.</w:t>
      </w:r>
    </w:p>
    <w:p>
      <w:pPr>
        <w:pStyle w:val="Heading2"/>
        <w:spacing w:after="140" w:before="300"/>
      </w:pPr>
      <w:r>
        <w:rPr>
          <w:rFonts w:ascii="Calibri" w:cs="Calibri" w:eastAsia="Calibri" w:hAnsi="Calibri"/>
          <w:b/>
          <w:bCs/>
          <w:color w:val="2E5AAC"/>
          <w:sz w:val="26"/>
          <w:szCs w:val="26"/>
        </w:rPr>
        <w:t xml:space="preserve">3.9 Proof  —  #proof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Legacy Systems We’ve Modernized</w:t>
            </w:r>
          </w:p>
        </w:tc>
      </w:tr>
    </w:tbl>
    <w:p>
      <w:pPr>
        <w:spacing w:after="60"/>
      </w:pPr>
      <w:r>
        <w:rPr>
          <w:sz w:val="2"/>
          <w:szCs w:val="2"/>
        </w:rPr>
        <w:t xml:space="preserve"/>
      </w:r>
    </w:p>
    <w:p>
      <w:pPr>
        <w:spacing w:after="120" w:before="0"/>
      </w:pPr>
      <w:r>
        <w:rPr>
          <w:rFonts w:ascii="Calibri" w:cs="Calibri" w:eastAsia="Calibri" w:hAnsi="Calibri"/>
          <w:sz w:val="21"/>
          <w:szCs w:val="21"/>
        </w:rPr>
        <w:t xml:space="preserve">Four case cards, each with the same four-part structure. The fixed structure is what makes them extractable by AI engines.</w:t>
      </w:r>
    </w:p>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160"/>
        <w:gridCol w:w="2100"/>
        <w:gridCol w:w="1800"/>
      </w:tblGrid>
      <w:tr>
        <w:trPr>
          <w:tblHeader/>
        </w:trPr>
        <w:tc>
          <w:tcPr>
            <w:tcW w:type="dxa" w:w="18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Card</w:t>
            </w:r>
          </w:p>
        </w:tc>
        <w:tc>
          <w:tcPr>
            <w:tcW w:type="dxa" w:w="15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Client</w:t>
            </w:r>
          </w:p>
        </w:tc>
        <w:tc>
          <w:tcPr>
            <w:tcW w:type="dxa" w:w="21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Starting point</w:t>
            </w:r>
          </w:p>
        </w:tc>
        <w:tc>
          <w:tcPr>
            <w:tcW w:type="dxa" w:w="21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What we did</w:t>
            </w:r>
          </w:p>
        </w:tc>
        <w:tc>
          <w:tcPr>
            <w:tcW w:type="dxa" w:w="18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Outcome</w:t>
            </w:r>
          </w:p>
        </w:tc>
      </w:tr>
      <w:tr>
        <w:tc>
          <w:tcPr>
            <w:tcW w:type="dxa" w:w="1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Application modernization and COBOL to Java with AI</w:t>
            </w:r>
          </w:p>
        </w:tc>
        <w:tc>
          <w:tcPr>
            <w:tcW w:type="dxa" w:w="1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 financial services firm</w:t>
            </w:r>
          </w:p>
        </w:tc>
        <w:tc>
          <w:tcPr>
            <w:tcW w:type="dxa" w:w="21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Legacy RPG and COBOL applications on on-premise infrastructure, with limited scalability, high maintenance cost and security exposure</w:t>
            </w:r>
          </w:p>
        </w:tc>
        <w:tc>
          <w:tcPr>
            <w:tcW w:type="dxa" w:w="21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Modernized the RPG applications, migrated the COBOL code to Java using AI-assisted engineering, and moved the applications and data to private cloud</w:t>
            </w:r>
          </w:p>
        </w:tc>
        <w:tc>
          <w:tcPr>
            <w:tcW w:type="dxa" w:w="1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Completed with minimal operational disruption</w:t>
            </w:r>
          </w:p>
        </w:tc>
      </w:tr>
      <w:tr>
        <w:tc>
          <w:tcPr>
            <w:tcW w:type="dxa" w:w="18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 national immunization platform, from Java 8 to modern Java</w:t>
            </w:r>
          </w:p>
        </w:tc>
        <w:tc>
          <w:tcPr>
            <w:tcW w:type="dxa" w:w="1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One of Pakistan’s leading NGOs</w:t>
            </w:r>
          </w:p>
        </w:tc>
        <w:tc>
          <w:tcPr>
            <w:tcW w:type="dxa" w:w="21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 national digital immunization platform built on Java 8, serving frontline health workers across multiple regions, including areas with little or no connectivity</w:t>
            </w:r>
          </w:p>
        </w:tc>
        <w:tc>
          <w:tcPr>
            <w:tcW w:type="dxa" w:w="21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Completed the migration and modernization of the platform from Java 8 onto a modern Java release, and scaled its data infrastructure</w:t>
            </w:r>
          </w:p>
        </w:tc>
        <w:tc>
          <w:tcPr>
            <w:tcW w:type="dxa" w:w="18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 platform managing over a billion immunization records for 4,000+ frontline health workers, on a modern Java foundation it can keep building on</w:t>
            </w:r>
          </w:p>
        </w:tc>
      </w:tr>
      <w:tr>
        <w:tc>
          <w:tcPr>
            <w:tcW w:type="dxa" w:w="1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Single-server ecommerce platform to AWS</w:t>
            </w:r>
          </w:p>
        </w:tc>
        <w:tc>
          <w:tcPr>
            <w:tcW w:type="dxa" w:w="1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An ecommerce brand</w:t>
            </w:r>
          </w:p>
        </w:tc>
        <w:tc>
          <w:tcPr>
            <w:tcW w:type="dxa" w:w="21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 legacy single-server setup that couldn’t scale with the business</w:t>
            </w:r>
          </w:p>
        </w:tc>
        <w:tc>
          <w:tcPr>
            <w:tcW w:type="dxa" w:w="21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Migrated to AWS, decoupled the application layers and updated the codebase</w:t>
            </w:r>
          </w:p>
        </w:tc>
        <w:tc>
          <w:tcPr>
            <w:tcW w:type="dxa" w:w="1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 foundation for scalable operations</w:t>
            </w:r>
          </w:p>
        </w:tc>
      </w:tr>
      <w:tr>
        <w:tc>
          <w:tcPr>
            <w:tcW w:type="dxa" w:w="18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 single source of truth for a retailer’s data</w:t>
            </w:r>
          </w:p>
        </w:tc>
        <w:tc>
          <w:tcPr>
            <w:tcW w:type="dxa" w:w="1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 leading South African retailer</w:t>
            </w:r>
          </w:p>
        </w:tc>
        <w:tc>
          <w:tcPr>
            <w:tcW w:type="dxa" w:w="21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Data spread across SAP ERP, SAP BW and application databases, with no unified view and several competing sources of truth</w:t>
            </w:r>
          </w:p>
        </w:tc>
        <w:tc>
          <w:tcPr>
            <w:tcW w:type="dxa" w:w="21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Migrated data from every source into a single Snowflake source of truth</w:t>
            </w:r>
          </w:p>
        </w:tc>
        <w:tc>
          <w:tcPr>
            <w:tcW w:type="dxa" w:w="18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Reporting, data analysis, data science models and AI use cases now run from one trusted source</w:t>
            </w:r>
          </w:p>
        </w:tc>
      </w:tr>
      <w:tr>
        <w:tc>
          <w:tcPr>
            <w:tcW w:type="dxa" w:w="1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Dependable operational data for a water utility</w:t>
            </w:r>
          </w:p>
        </w:tc>
        <w:tc>
          <w:tcPr>
            <w:tcW w:type="dxa" w:w="1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 water utility</w:t>
            </w:r>
          </w:p>
        </w:tc>
        <w:tc>
          <w:tcPr>
            <w:tcW w:type="dxa" w:w="21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Slow, unreliable data processing meant the teams monitoring operations couldn’t count on complete, timely data to make decisions</w:t>
            </w:r>
          </w:p>
        </w:tc>
        <w:tc>
          <w:tcPr>
            <w:tcW w:type="dxa" w:w="21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Traced the slowdowns to their root causes in the existing pipeline code and re-engineered it, without replacing the platform</w:t>
            </w:r>
          </w:p>
        </w:tc>
        <w:tc>
          <w:tcPr>
            <w:tcW w:type="dxa" w:w="1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Faster, dependable data for operational monitoring and decisions, and more value from the platform the utility already owned</w:t>
            </w:r>
          </w:p>
        </w:tc>
      </w:tr>
    </w:tbl>
    <w:p>
      <w:pPr>
        <w:spacing w:after="1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TESTIMONIAL</w:t>
            </w:r>
          </w:p>
          <w:p>
            <w:pPr>
              <w:spacing w:after="60"/>
            </w:pPr>
            <w:r>
              <w:rPr>
                <w:rFonts w:ascii="Calibri" w:cs="Calibri" w:eastAsia="Calibri" w:hAnsi="Calibri"/>
                <w:sz w:val="21"/>
                <w:szCs w:val="21"/>
              </w:rPr>
              <w:t xml:space="preserve">"Delivered complex projects on time and within budget."</w:t>
            </w:r>
          </w:p>
          <w:p>
            <w:pPr>
              <w:spacing w:after="60"/>
            </w:pPr>
            <w:r>
              <w:rPr>
                <w:rFonts w:ascii="Calibri" w:cs="Calibri" w:eastAsia="Calibri" w:hAnsi="Calibri"/>
                <w:sz w:val="21"/>
                <w:szCs w:val="21"/>
              </w:rPr>
              <w:t xml:space="preserve">— John Waterhouse, Cloud Titans · core application modernization and SIEM migration</w:t>
            </w:r>
          </w:p>
        </w:tc>
      </w:tr>
    </w:tbl>
    <w:p>
      <w:pPr>
        <w:spacing w:after="160" w:before="80"/>
      </w:pPr>
      <w:r>
        <w:rPr>
          <w:rFonts w:ascii="Calibri" w:cs="Calibri" w:eastAsia="Calibri" w:hAnsi="Calibri"/>
          <w:b/>
          <w:bCs/>
          <w:color w:val="5A5A6E"/>
          <w:sz w:val="19"/>
          <w:szCs w:val="19"/>
        </w:rPr>
        <w:t xml:space="preserve">Card order. </w:t>
      </w:r>
      <w:r>
        <w:rPr>
          <w:rFonts w:ascii="Calibri" w:cs="Calibri" w:eastAsia="Calibri" w:hAnsi="Calibri"/>
          <w:i/>
          <w:iCs/>
          <w:color w:val="5A5A6E"/>
          <w:sz w:val="19"/>
          <w:szCs w:val="19"/>
        </w:rPr>
        <w:t xml:space="preserve">Lead with the COBOL-to-Java card: it is the strongest proof on the page and the only one that shows AI-assisted migration. Then the retailer data card (primary buyer: heads of data), then the immunization platform, AWS and utility cards.</w:t>
      </w:r>
    </w:p>
    <w:p>
      <w:pPr>
        <w:spacing w:after="80"/>
      </w:pPr>
      <w:r>
        <w:rPr>
          <w:sz w:val="2"/>
          <w:szCs w:val="2"/>
        </w:rPr>
        <w:t xml:space="preserve"/>
      </w:r>
    </w:p>
    <w:p>
      <w:pPr>
        <w:spacing w:after="200" w:before="80"/>
      </w:pPr>
      <w:r>
        <w:rPr>
          <w:rFonts w:ascii="Calibri" w:cs="Calibri" w:eastAsia="Calibri" w:hAnsi="Calibri"/>
          <w:b/>
          <w:bCs/>
          <w:color w:val="B02A2A"/>
          <w:sz w:val="19"/>
          <w:szCs w:val="19"/>
        </w:rPr>
        <w:t xml:space="preserve">DO NOT ADD TO ANY CARD: </w:t>
      </w:r>
      <w:r>
        <w:rPr>
          <w:rFonts w:ascii="Calibri" w:cs="Calibri" w:eastAsia="Calibri" w:hAnsi="Calibri"/>
          <w:color w:val="B02A2A"/>
          <w:sz w:val="19"/>
          <w:szCs w:val="19"/>
        </w:rPr>
        <w:t xml:space="preserve">client names (the financial services firm, the retailer, the NGO, the ecommerce brand and the utility are all anonymized); any percentage; "real-time" on the retailer card; "zero downtime", "no downtime" or "uninterrupted performance"; the IBM i / AS/400 platform name; the Java 19 version number.</w:t>
      </w:r>
    </w:p>
    <w:p>
      <w:r>
        <w:br w:type="page"/>
      </w:r>
    </w:p>
    <w:p>
      <w:pPr>
        <w:pStyle w:val="Heading2"/>
        <w:spacing w:after="140" w:before="300"/>
      </w:pPr>
      <w:r>
        <w:rPr>
          <w:rFonts w:ascii="Calibri" w:cs="Calibri" w:eastAsia="Calibri" w:hAnsi="Calibri"/>
          <w:b/>
          <w:bCs/>
          <w:color w:val="2E5AAC"/>
          <w:sz w:val="26"/>
          <w:szCs w:val="26"/>
        </w:rPr>
        <w:t xml:space="preserve">3.10 From → To  —  #stacks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What We’ve Modernized From, and To</w:t>
            </w:r>
          </w:p>
        </w:tc>
      </w:tr>
    </w:tbl>
    <w:p>
      <w:pPr>
        <w:spacing w:after="8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3500"/>
        <w:gridCol w:w="2160"/>
      </w:tblGrid>
      <w:tr>
        <w:trPr>
          <w:tblHeader/>
        </w:trPr>
        <w:tc>
          <w:tcPr>
            <w:tcW w:type="dxa" w:w="37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From</w:t>
            </w:r>
          </w:p>
        </w:tc>
        <w:tc>
          <w:tcPr>
            <w:tcW w:type="dxa" w:w="35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To</w:t>
            </w:r>
          </w:p>
        </w:tc>
        <w:tc>
          <w:tcPr>
            <w:tcW w:type="dxa" w:w="21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Delivered for</w:t>
            </w:r>
          </w:p>
        </w:tc>
      </w:tr>
      <w:tr>
        <w:tc>
          <w:tcPr>
            <w:tcW w:type="dxa" w:w="3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RPG applications on on-premise infrastructure</w:t>
            </w:r>
          </w:p>
        </w:tc>
        <w:tc>
          <w:tcPr>
            <w:tcW w:type="dxa" w:w="3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Modernized applications on private cloud</w:t>
            </w:r>
          </w:p>
        </w:tc>
        <w:tc>
          <w:tcPr>
            <w:tcW w:type="dxa" w:w="21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Financial services</w:t>
            </w:r>
          </w:p>
        </w:tc>
      </w:tr>
      <w:tr>
        <w:tc>
          <w:tcPr>
            <w:tcW w:type="dxa" w:w="3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COBOL code</w:t>
            </w:r>
          </w:p>
        </w:tc>
        <w:tc>
          <w:tcPr>
            <w:tcW w:type="dxa" w:w="3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Java, using AI-assisted engineering</w:t>
            </w:r>
          </w:p>
        </w:tc>
        <w:tc>
          <w:tcPr>
            <w:tcW w:type="dxa" w:w="21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Financial services</w:t>
            </w:r>
          </w:p>
        </w:tc>
      </w:tr>
      <w:tr>
        <w:tc>
          <w:tcPr>
            <w:tcW w:type="dxa" w:w="3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Java 8 national immunization platform</w:t>
            </w:r>
          </w:p>
        </w:tc>
        <w:tc>
          <w:tcPr>
            <w:tcW w:type="dxa" w:w="3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 modern Java release, with scaled data infrastructure</w:t>
            </w:r>
          </w:p>
        </w:tc>
        <w:tc>
          <w:tcPr>
            <w:tcW w:type="dxa" w:w="21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Healthcare (non-profit)</w:t>
            </w:r>
          </w:p>
        </w:tc>
      </w:tr>
      <w:tr>
        <w:tc>
          <w:tcPr>
            <w:tcW w:type="dxa" w:w="3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Single-server ecommerce application</w:t>
            </w:r>
          </w:p>
        </w:tc>
        <w:tc>
          <w:tcPr>
            <w:tcW w:type="dxa" w:w="3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AWS, with decoupled application layers</w:t>
            </w:r>
          </w:p>
        </w:tc>
        <w:tc>
          <w:tcPr>
            <w:tcW w:type="dxa" w:w="21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Ecommerce</w:t>
            </w:r>
          </w:p>
        </w:tc>
      </w:tr>
      <w:tr>
        <w:tc>
          <w:tcPr>
            <w:tcW w:type="dxa" w:w="3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SAP ERP, SAP BW and application databases</w:t>
            </w:r>
          </w:p>
        </w:tc>
        <w:tc>
          <w:tcPr>
            <w:tcW w:type="dxa" w:w="3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 single Snowflake source of truth</w:t>
            </w:r>
          </w:p>
        </w:tc>
        <w:tc>
          <w:tcPr>
            <w:tcW w:type="dxa" w:w="21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Retail</w:t>
            </w:r>
          </w:p>
        </w:tc>
      </w:tr>
      <w:tr>
        <w:tc>
          <w:tcPr>
            <w:tcW w:type="dxa" w:w="3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SQL, stored procedures and PySpark pipelines</w:t>
            </w:r>
          </w:p>
        </w:tc>
        <w:tc>
          <w:tcPr>
            <w:tcW w:type="dxa" w:w="3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Re-engineered, dependable data pipelines</w:t>
            </w:r>
          </w:p>
        </w:tc>
        <w:tc>
          <w:tcPr>
            <w:tcW w:type="dxa" w:w="21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Utilities</w:t>
            </w:r>
          </w:p>
        </w:tc>
      </w:tr>
    </w:tbl>
    <w:p>
      <w:pPr>
        <w:spacing w:after="1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LINE BELOW THE TABLE</w:t>
            </w:r>
          </w:p>
          <w:p>
            <w:pPr>
              <w:spacing w:after="60"/>
            </w:pPr>
            <w:r>
              <w:rPr>
                <w:rFonts w:ascii="Calibri" w:cs="Calibri" w:eastAsia="Calibri" w:hAnsi="Calibri"/>
                <w:sz w:val="21"/>
                <w:szCs w:val="21"/>
              </w:rPr>
              <w:t xml:space="preserve">We’ve also migrated PHP applications and run cloud-to-cloud migrations.</w:t>
            </w:r>
          </w:p>
        </w:tc>
      </w:tr>
    </w:tbl>
    <w:p>
      <w:pPr>
        <w:spacing w:after="60"/>
      </w:pPr>
      <w:r>
        <w:rPr>
          <w:sz w:val="2"/>
          <w:szCs w:val="2"/>
        </w:rPr>
        <w:t xml:space="preserve"/>
      </w:r>
    </w:p>
    <w:p>
      <w:pPr>
        <w:spacing w:after="200" w:before="80"/>
      </w:pPr>
      <w:r>
        <w:rPr>
          <w:rFonts w:ascii="Calibri" w:cs="Calibri" w:eastAsia="Calibri" w:hAnsi="Calibri"/>
          <w:b/>
          <w:bCs/>
          <w:color w:val="B02A2A"/>
          <w:sz w:val="19"/>
          <w:szCs w:val="19"/>
        </w:rPr>
        <w:t xml:space="preserve">Do not add rows. </w:t>
      </w:r>
      <w:r>
        <w:rPr>
          <w:rFonts w:ascii="Calibri" w:cs="Calibri" w:eastAsia="Calibri" w:hAnsi="Calibri"/>
          <w:color w:val="B02A2A"/>
          <w:sz w:val="19"/>
          <w:szCs w:val="19"/>
        </w:rPr>
        <w:t xml:space="preserve">.NET Framework, Oracle, VB6/Access, mainframe, and Microsoft Azure as a target have not been delivered. Adding any of them is a false capability claim. New rows need delivery confirmation first.</w:t>
      </w:r>
    </w:p>
    <w:p>
      <w:pPr>
        <w:pStyle w:val="Heading2"/>
        <w:spacing w:after="140" w:before="300"/>
      </w:pPr>
      <w:r>
        <w:rPr>
          <w:rFonts w:ascii="Calibri" w:cs="Calibri" w:eastAsia="Calibri" w:hAnsi="Calibri"/>
          <w:b/>
          <w:bCs/>
          <w:color w:val="2E5AAC"/>
          <w:sz w:val="26"/>
          <w:szCs w:val="26"/>
        </w:rPr>
        <w:t xml:space="preserve">3.11 At a glance  —  #at-a-glance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Legacy System Modernization at a Glance</w:t>
            </w:r>
          </w:p>
        </w:tc>
      </w:tr>
    </w:tbl>
    <w:p>
      <w:pPr>
        <w:spacing w:after="60"/>
      </w:pPr>
      <w:r>
        <w:rPr>
          <w:sz w:val="2"/>
          <w:szCs w:val="2"/>
        </w:rPr>
        <w:t xml:space="preserve"/>
      </w:r>
    </w:p>
    <w:p>
      <w:pPr>
        <w:spacing w:after="120" w:before="0"/>
      </w:pPr>
      <w:r>
        <w:rPr>
          <w:rFonts w:ascii="Calibri" w:cs="Calibri" w:eastAsia="Calibri" w:hAnsi="Calibri"/>
          <w:sz w:val="21"/>
          <w:szCs w:val="21"/>
        </w:rPr>
        <w:t xml:space="preserve">The block AI agents read first. Real HTML table, server-rendered, never collapsed.</w:t>
      </w:r>
    </w:p>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Fact</w:t>
            </w:r>
          </w:p>
        </w:tc>
        <w:tc>
          <w:tcPr>
            <w:tcW w:type="dxa" w:w="70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Detail</w:t>
            </w:r>
          </w:p>
        </w:tc>
      </w:tr>
      <w:tr>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Who it’s for</w:t>
            </w:r>
          </w:p>
        </w:tc>
        <w:tc>
          <w:tcPr>
            <w:tcW w:type="dxa" w:w="7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Heads of data and chief data officers; CIOs, CTOs and transformation leaders; engineering and platform leaders — at mid-size and large organizations running business-critical systems that are hard to change, integrate or secure</w:t>
            </w:r>
          </w:p>
        </w:tc>
      </w:tr>
      <w:tr>
        <w:tc>
          <w:tcPr>
            <w:tcW w:type="dxa" w:w="2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Common triggers</w:t>
            </w:r>
          </w:p>
        </w:tc>
        <w:tc>
          <w:tcPr>
            <w:tcW w:type="dxa" w:w="7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Vendor support ending · data-center or hardware exit · an AI or analytics initiative blocked by a legacy system · integration backlog · security or audit findings · rising maintenance cost</w:t>
            </w:r>
          </w:p>
        </w:tc>
      </w:tr>
      <w:tr>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Where to start</w:t>
            </w:r>
          </w:p>
        </w:tc>
        <w:tc>
          <w:tcPr>
            <w:tcW w:type="dxa" w:w="7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Two-week Legacy Modernization Discovery</w:t>
            </w:r>
          </w:p>
        </w:tc>
      </w:tr>
      <w:tr>
        <w:tc>
          <w:tcPr>
            <w:tcW w:type="dxa" w:w="2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Discovery outputs</w:t>
            </w:r>
          </w:p>
        </w:tc>
        <w:tc>
          <w:tcPr>
            <w:tcW w:type="dxa" w:w="7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System and dependency map · risk register · recommended approach for each system, including which to leave alone</w:t>
            </w:r>
          </w:p>
        </w:tc>
      </w:tr>
      <w:tr>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How it runs</w:t>
            </w:r>
          </w:p>
        </w:tc>
        <w:tc>
          <w:tcPr>
            <w:tcW w:type="dxa" w:w="7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Discovery → planning → phased implementation with parallel running, reconciliation and a rollback path per phase</w:t>
            </w:r>
          </w:p>
        </w:tc>
      </w:tr>
      <w:tr>
        <w:tc>
          <w:tcPr>
            <w:tcW w:type="dxa" w:w="2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Approaches</w:t>
            </w:r>
          </w:p>
        </w:tc>
        <w:tc>
          <w:tcPr>
            <w:tcW w:type="dxa" w:w="7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Retain · Retire · Rehost · Replatform · Refactor · Re-architect · Rebuild · Replace · API layer</w:t>
            </w:r>
          </w:p>
        </w:tc>
      </w:tr>
      <w:tr>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Delivered targets</w:t>
            </w:r>
          </w:p>
        </w:tc>
        <w:tc>
          <w:tcPr>
            <w:tcW w:type="dxa" w:w="7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AWS · private cloud · Snowflake · Java (from COBOL and from Java 8)</w:t>
            </w:r>
          </w:p>
        </w:tc>
      </w:tr>
      <w:tr>
        <w:tc>
          <w:tcPr>
            <w:tcW w:type="dxa" w:w="2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AI in delivery</w:t>
            </w:r>
          </w:p>
        </w:tc>
        <w:tc>
          <w:tcPr>
            <w:tcW w:type="dxa" w:w="7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AI coding assistants, including Cursor and Claude, with every change reviewed and tested by an engineer. Used to migrate COBOL code to Java for a financial services firm</w:t>
            </w:r>
          </w:p>
        </w:tc>
      </w:tr>
      <w:tr>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Engagement models</w:t>
            </w:r>
          </w:p>
        </w:tc>
        <w:tc>
          <w:tcPr>
            <w:tcW w:type="dxa" w:w="7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Scope-based project · Embedded specialists · Retainer advisory</w:t>
            </w:r>
          </w:p>
        </w:tc>
      </w:tr>
      <w:tr>
        <w:tc>
          <w:tcPr>
            <w:tcW w:type="dxa" w:w="2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Technology partners</w:t>
            </w:r>
          </w:p>
        </w:tc>
        <w:tc>
          <w:tcPr>
            <w:tcW w:type="dxa" w:w="7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AWS · Microsoft · Snowflake · Databricks · Salesforce</w:t>
            </w:r>
          </w:p>
        </w:tc>
      </w:tr>
      <w:tr>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Offices</w:t>
            </w:r>
          </w:p>
        </w:tc>
        <w:tc>
          <w:tcPr>
            <w:tcW w:type="dxa" w:w="7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Karachi · San Mateo · Dubai · Doha — serving clients across Asia, the Middle East, Africa, Europe and North America</w:t>
            </w:r>
          </w:p>
        </w:tc>
      </w:tr>
      <w:tr>
        <w:tc>
          <w:tcPr>
            <w:tcW w:type="dxa" w:w="2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Industries</w:t>
            </w:r>
          </w:p>
        </w:tc>
        <w:tc>
          <w:tcPr>
            <w:tcW w:type="dxa" w:w="7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Financial services · Energy and utilities · Healthcare · Retail · Transport and logistics</w:t>
            </w:r>
          </w:p>
        </w:tc>
      </w:tr>
      <w:tr>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Not a fit</w:t>
            </w:r>
          </w:p>
        </w:tc>
        <w:tc>
          <w:tcPr>
            <w:tcW w:type="dxa" w:w="7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Systems that are stable, supported and not blocking anything — we’ll recommend leaving them alone · Large mainframe replacement programs</w:t>
            </w:r>
          </w:p>
        </w:tc>
      </w:tr>
    </w:tbl>
    <w:p>
      <w:r>
        <w:br w:type="page"/>
      </w:r>
    </w:p>
    <w:p>
      <w:pPr>
        <w:pStyle w:val="Heading2"/>
        <w:spacing w:after="140" w:before="300"/>
      </w:pPr>
      <w:r>
        <w:rPr>
          <w:rFonts w:ascii="Calibri" w:cs="Calibri" w:eastAsia="Calibri" w:hAnsi="Calibri"/>
          <w:b/>
          <w:bCs/>
          <w:color w:val="2E5AAC"/>
          <w:sz w:val="26"/>
          <w:szCs w:val="26"/>
        </w:rPr>
        <w:t xml:space="preserve">3.12 FAQ  —  #faq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Legacy System Modernization FAQ</w:t>
            </w:r>
          </w:p>
        </w:tc>
      </w:tr>
    </w:tbl>
    <w:p>
      <w:pPr>
        <w:spacing w:after="60"/>
      </w:pPr>
      <w:r>
        <w:rPr>
          <w:sz w:val="2"/>
          <w:szCs w:val="2"/>
        </w:rPr>
        <w:t xml:space="preserve"/>
      </w:r>
    </w:p>
    <w:p>
      <w:pPr>
        <w:spacing w:after="120" w:before="0"/>
      </w:pPr>
      <w:r>
        <w:rPr>
          <w:rFonts w:ascii="Calibri" w:cs="Calibri" w:eastAsia="Calibri" w:hAnsi="Calibri"/>
          <w:sz w:val="21"/>
          <w:szCs w:val="21"/>
        </w:rPr>
        <w:t xml:space="preserve">Fifteen questions. Each answer opens with the answer, then explains. All fifteen go into FAQPage schema with text identical to the page. Q14 speaks to CIOs and transformation leaders; Q15 to heads of data.</w:t>
      </w:r>
    </w:p>
    <w:p>
      <w:pPr>
        <w:spacing w:after="120"/>
      </w:pPr>
      <w:r>
        <w:rPr>
          <w:sz w:val="2"/>
          <w:szCs w:val="2"/>
        </w:rPr>
        <w:t xml:space="preserve"/>
      </w:r>
    </w:p>
    <w:p>
      <w:pPr>
        <w:pStyle w:val="Heading3"/>
        <w:spacing w:after="100" w:before="220"/>
      </w:pPr>
      <w:r>
        <w:rPr>
          <w:rFonts w:ascii="Calibri" w:cs="Calibri" w:eastAsia="Calibri" w:hAnsi="Calibri"/>
          <w:b/>
          <w:bCs/>
          <w:color w:val="1B1B3A"/>
          <w:sz w:val="22"/>
          <w:szCs w:val="22"/>
        </w:rPr>
        <w:t xml:space="preserve">Q1. What is legacy system modernization?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Legacy system modernization is the process of updating or replacing aging software and infrastructure so it can be maintained, secured, integrated and scaled again. It covers everything from moving a system to new infrastructure unchanged, to re-architecting it, to retiring it. Most programs mix several approaches across a portfolio — including leaving some systems alone.</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Q2. How do you decide whether to rehost, refactor, re-architect or replace a legacy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By what the system needs to do next, not how old it is. If only the infrastructure is the problem, rehost or replatform. If the design holds but the code is fragile, refactor. If the structure itself blocks scaling or integration, re-architect. If the function is a commodity, replace it. In discovery we score each system on business criticality, change frequency, risk and what it’s blocking.</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Q3. How do you modernize a legacy system without downtime?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By never switching everything over at once. The new system runs alongside the old one, users or transactions move across in controlled stages, results are reconciled between the two, and every phase has a rollback path. Short, scheduled cutover windows are sometimes still needed, but never an all-at-once switchover. It’s how we modernized a financial services firm’s RPG and COBOL applications and moved them to private cloud with minimal operational disruption.</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Q4. How long does legacy system modernization take?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It depends on the approach and how tightly the system is connected to everything around it. Rehosting a well-understood application can take weeks. Re-architecting a core system that many processes depend on can take a year or more, delivered in phases that each produce something usable. Every engagement starts with a two-week discovery, which answers this for your systems specifically before you commit to a plan.</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Q5. How much does legacy system modernization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Five things drive cost: the size and complexity of the codebase, how well it’s documented, the approach chosen for each system, the volume and quality of data to migrate, and how much parallel running the business needs. That’s why a credible estimate comes after discovery, not before it. Our two-week discovery produces the system map, risks and recommended approach that a realistic plan is built on.</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Q6. Should we modernize legacy systems before starting an AI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Only the parts the AI needs to reach. An AI initiative needs data it can read and, for agents, actions it can call. If a legacy system blocks either, fix that first — often with an API layer rather than a migration. If it doesn’t, leave it and start the AI work. Modernizing everything first delays value for no reason.</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Q7. What if our legacy system has no documentation and the original developers have left?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That’s the normal case, not the exception. We reconstruct how the system works from its code, its data and how people actually use it, document the business rules that matter before anything changes, and confirm them with the people who rely on the system. Undocumented behavior is the biggest source of modernization risk, so we surface it early — not mid-migration.</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Q8. Can AI tools convert our legacy code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Partly. AI is genuinely useful for reading unfamiliar code, documenting business rules, drafting tests and producing first-pass changes — our engineers use assistants such as Cursor and Claude for exactly that, and we used them to migrate a financial services firm’s COBOL code to Java. It doesn’t prove the new system behaves exactly like the old one, and that proof is where modernization projects succeed or fail. Treat any promise of fully automatic conversion with caution.</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Q9. Will you use AI tools on our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Only if you agree to it. Our engineers use AI coding assistants, including Cursor and Claude, to read and document legacy code faster and to draft tests and changes. Whether those tools can be used on your codebase, and under what data controls, is agreed with you before work starts. Every AI-assisted change is reviewed and tested by an engineer.</w:t>
            </w:r>
          </w:p>
        </w:tc>
      </w:tr>
    </w:tbl>
    <w:p>
      <w:pPr>
        <w:spacing w:after="160" w:before="80"/>
      </w:pPr>
      <w:r>
        <w:rPr>
          <w:rFonts w:ascii="Calibri" w:cs="Calibri" w:eastAsia="Calibri" w:hAnsi="Calibri"/>
          <w:b/>
          <w:bCs/>
          <w:color w:val="5A5A6E"/>
          <w:sz w:val="19"/>
          <w:szCs w:val="19"/>
        </w:rPr>
        <w:t xml:space="preserve">Launch dependency. </w:t>
      </w:r>
      <w:r>
        <w:rPr>
          <w:rFonts w:ascii="Calibri" w:cs="Calibri" w:eastAsia="Calibri" w:hAnsi="Calibri"/>
          <w:i/>
          <w:iCs/>
          <w:color w:val="5A5A6E"/>
          <w:sz w:val="19"/>
          <w:szCs w:val="19"/>
        </w:rPr>
        <w:t xml:space="preserve">This answer commits delivery to agreeing AI-tool use with each client before work starts. That step must exist in the engagement kickoff before the page goes live — see §8.</w:t>
      </w:r>
    </w:p>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Q10. What happens to our existing team during modernization?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They stay central. Your team knows how the business actually uses the system, and they’ll run the modernized version afterwards. We work alongside them, plan how the legacy system stays supported while migration runs, and build knowledge transfer into every phase rather than leaving it to the end.</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Q11. How do you keep data secure and compliant during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Migration is when data is most exposed — it’s copied, transformed and running in two places at once. We define data classification, access controls and reconciliation checks before the first transfer, and keep both environments under the same controls during parallel running. Where regulated data is involved, our security practice — which includes certified ISO 27001 and ISO 42001 Lead Auditors — is part of the engagement.</w:t>
            </w:r>
          </w:p>
        </w:tc>
      </w:tr>
    </w:tbl>
    <w:p>
      <w:pPr>
        <w:spacing w:after="160" w:before="80"/>
      </w:pPr>
      <w:r>
        <w:rPr>
          <w:rFonts w:ascii="Calibri" w:cs="Calibri" w:eastAsia="Calibri" w:hAnsi="Calibri"/>
          <w:b/>
          <w:bCs/>
          <w:color w:val="5A5A6E"/>
          <w:sz w:val="19"/>
          <w:szCs w:val="19"/>
        </w:rPr>
        <w:t xml:space="preserve">Claims note. </w:t>
      </w:r>
      <w:r>
        <w:rPr>
          <w:rFonts w:ascii="Calibri" w:cs="Calibri" w:eastAsia="Calibri" w:hAnsi="Calibri"/>
          <w:i/>
          <w:iCs/>
          <w:color w:val="5A5A6E"/>
          <w:sz w:val="19"/>
          <w:szCs w:val="19"/>
        </w:rPr>
        <w:t xml:space="preserve">Lead Auditor certification is individual, never company-level. Do not shorten to "ISO 27001 certified".</w:t>
      </w:r>
    </w:p>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Q12. Can you modernize onto our existing cloud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Yes. We’ve delivered migrations to AWS, to private cloud and to Snowflake on AWS, as well as cloud-to-cloud migrations, and our technology partners are AWS, Microsoft, Snowflake, Databricks and Salesforce. The target platform should follow your existing contracts, data residency requirements and team skills — the architecture decisions carry across platforms.</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Q13. Which legacy systems should we not modernize?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The ones that are stable, supported, rarely changed and not blocking anything. Modernizing them costs budget and adds risk without adding capability. If a sound system is simply hard to reach, wrap it in an API layer and leave the core alone. A good discovery should recommend leaving some systems untouched — if one recommends modernizing everything, question it.</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Q14. How do we build a business case for modernizing a legacy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Compare the cost of keeping the system with the cost of changing it. Keeping it costs maintenance, scarce skills, security exposure once support ends, and the initiatives it delays — often the most expensive line, and the one most business cases leave out. Changing it costs the phased work plus the parallel running needed to do it safely. Our two-week discovery produces the system map, risks and prioritized options that both sides of that comparison are built on.</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Q15. How do we modernize legacy data sources without breaking existing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Run the old and new data pipelines side by side and reconcile the outputs, report by report, before anything is switched off. Reports move to the new platform only once their numbers match — so the business never loses a report it depends on, and the data team never has to defend a figure nobody can trace. That’s the approach behind our work bringing a retailer’s SAP ERP, SAP BW and application databases into a single Snowflake source of truth.</w:t>
            </w:r>
          </w:p>
        </w:tc>
      </w:tr>
    </w:tbl>
    <w:p>
      <w:pPr>
        <w:spacing w:after="80"/>
      </w:pPr>
      <w:r>
        <w:rPr>
          <w:sz w:val="2"/>
          <w:szCs w:val="2"/>
        </w:rPr>
        <w:t xml:space="preserve"/>
      </w:r>
    </w:p>
    <w:p>
      <w:r>
        <w:br w:type="page"/>
      </w:r>
    </w:p>
    <w:p>
      <w:pPr>
        <w:pStyle w:val="Heading2"/>
        <w:spacing w:after="140" w:before="300"/>
      </w:pPr>
      <w:r>
        <w:rPr>
          <w:rFonts w:ascii="Calibri" w:cs="Calibri" w:eastAsia="Calibri" w:hAnsi="Calibri"/>
          <w:b/>
          <w:bCs/>
          <w:color w:val="2E5AAC"/>
          <w:sz w:val="26"/>
          <w:szCs w:val="26"/>
        </w:rPr>
        <w:t xml:space="preserve">3.13 Lead capture band  —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Start With the Systems That Are Actually in the Way</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BODY</w:t>
            </w:r>
          </w:p>
          <w:p>
            <w:pPr>
              <w:spacing w:after="60"/>
            </w:pPr>
            <w:r>
              <w:rPr>
                <w:rFonts w:ascii="Calibri" w:cs="Calibri" w:eastAsia="Calibri" w:hAnsi="Calibri"/>
                <w:sz w:val="21"/>
                <w:szCs w:val="21"/>
              </w:rPr>
              <w:t xml:space="preserve">Tell us what you’re running and what it’s blocking. We’ll tell you what to modernize, what to wrap, and what to leave alone.</w:t>
            </w:r>
          </w:p>
        </w:tc>
      </w:tr>
    </w:tbl>
    <w:p>
      <w:pPr>
        <w:spacing w:after="80"/>
      </w:pPr>
      <w:r>
        <w:rPr>
          <w:sz w:val="2"/>
          <w:szCs w:val="2"/>
        </w:rPr>
        <w:t xml:space="preserve"/>
      </w:r>
    </w:p>
    <w:p>
      <w:pPr>
        <w:spacing w:after="120" w:before="0"/>
      </w:pPr>
      <w:r>
        <w:rPr>
          <w:rFonts w:ascii="Calibri" w:cs="Calibri" w:eastAsia="Calibri" w:hAnsi="Calibri"/>
          <w:sz w:val="21"/>
          <w:szCs w:val="21"/>
        </w:rPr>
        <w:t xml:space="preserve">Three columns, equal visual weight, left to right by buyer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Book a Discovery</w:t>
            </w:r>
          </w:p>
        </w:tc>
        <w:tc>
          <w:tcPr>
            <w:tcW w:type="dxa" w:w="312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Get a Legacy System Triage</w:t>
            </w:r>
          </w:p>
        </w:tc>
        <w:tc>
          <w:tcPr>
            <w:tcW w:type="dxa" w:w="312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Take the Decision Guide</w:t>
            </w:r>
          </w:p>
        </w:tc>
      </w:tr>
      <w:tr>
        <w:tc>
          <w:tcPr>
            <w:tcW w:type="dxa" w:w="312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For teams ready to scope a program. Two weeks mapping your systems, dependencies and risks, ending in a recommended approach for each.</w:t>
            </w:r>
          </w:p>
        </w:tc>
        <w:tc>
          <w:tcPr>
            <w:tcW w:type="dxa" w:w="312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Eight short questions about one system. A solutions architect reviews it and replies with a first view on the right approach.</w:t>
            </w:r>
          </w:p>
        </w:tc>
        <w:tc>
          <w:tcPr>
            <w:tcW w:type="dxa" w:w="312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The approaches, the leave-it-alone rules and the AI-readiness checks from this page, formatted for your steering committee.</w:t>
            </w:r>
          </w:p>
        </w:tc>
      </w:tr>
      <w:tr>
        <w:tc>
          <w:tcPr>
            <w:tcW w:type="dxa" w:w="312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Book a 2-Week Discovery →</w:t>
            </w:r>
          </w:p>
        </w:tc>
        <w:tc>
          <w:tcPr>
            <w:tcW w:type="dxa" w:w="312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Get My Triage →</w:t>
            </w:r>
          </w:p>
        </w:tc>
        <w:tc>
          <w:tcPr>
            <w:tcW w:type="dxa" w:w="312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Download the Guide →</w:t>
            </w:r>
          </w:p>
        </w:tc>
      </w:tr>
    </w:tbl>
    <w:p>
      <w:pPr>
        <w:spacing w:after="1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SMALL PRINT UNDER THE BAND</w:t>
            </w:r>
          </w:p>
          <w:p>
            <w:pPr>
              <w:spacing w:after="60"/>
            </w:pPr>
            <w:r>
              <w:rPr>
                <w:rFonts w:ascii="Calibri" w:cs="Calibri" w:eastAsia="Calibri" w:hAnsi="Calibri"/>
                <w:sz w:val="21"/>
                <w:szCs w:val="21"/>
              </w:rPr>
              <w:t xml:space="preserve">Every engagement starts with discovery. We don’t quote or begin a migration without one.</w:t>
            </w:r>
          </w:p>
        </w:tc>
      </w:tr>
    </w:tbl>
    <w:p>
      <w:pPr>
        <w:spacing w:after="60"/>
      </w:pPr>
      <w:r>
        <w:rPr>
          <w:sz w:val="2"/>
          <w:szCs w:val="2"/>
        </w:rPr>
        <w:t xml:space="preserve"/>
      </w:r>
    </w:p>
    <w:p>
      <w:pPr>
        <w:spacing w:after="200" w:before="80"/>
      </w:pPr>
      <w:r>
        <w:rPr>
          <w:rFonts w:ascii="Calibri" w:cs="Calibri" w:eastAsia="Calibri" w:hAnsi="Calibri"/>
          <w:b/>
          <w:bCs/>
          <w:color w:val="B02A2A"/>
          <w:sz w:val="19"/>
          <w:szCs w:val="19"/>
        </w:rPr>
        <w:t xml:space="preserve">Do not publish the "Download the Guide" button until the PDF exists. </w:t>
      </w:r>
      <w:r>
        <w:rPr>
          <w:rFonts w:ascii="Calibri" w:cs="Calibri" w:eastAsia="Calibri" w:hAnsi="Calibri"/>
          <w:color w:val="B02A2A"/>
          <w:sz w:val="19"/>
          <w:szCs w:val="19"/>
        </w:rPr>
        <w:t xml:space="preserve">Ship the band with two columns if the guide is not ready at launch.</w:t>
      </w:r>
    </w:p>
    <w:p>
      <w:pPr>
        <w:pStyle w:val="Heading2"/>
        <w:spacing w:after="140" w:before="300"/>
      </w:pPr>
      <w:r>
        <w:rPr>
          <w:rFonts w:ascii="Calibri" w:cs="Calibri" w:eastAsia="Calibri" w:hAnsi="Calibri"/>
          <w:b/>
          <w:bCs/>
          <w:color w:val="2E5AAC"/>
          <w:sz w:val="26"/>
          <w:szCs w:val="26"/>
        </w:rPr>
        <w:t xml:space="preserve">3.14 Related  —  #related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Related Services</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Link text</w:t>
            </w:r>
          </w:p>
        </w:tc>
        <w:tc>
          <w:tcPr>
            <w:tcW w:type="dxa" w:w="468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URL</w:t>
            </w:r>
          </w:p>
        </w:tc>
      </w:tr>
      <w:tr>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Digital Transformation</w:t>
            </w:r>
          </w:p>
        </w:tc>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/services/digital-transformation</w:t>
            </w:r>
          </w:p>
        </w:tc>
      </w:tr>
      <w:tr>
        <w:tc>
          <w:tcPr>
            <w:tcW w:type="dxa" w:w="46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Cloud &amp; Hyperscaling</w:t>
            </w:r>
          </w:p>
        </w:tc>
        <w:tc>
          <w:tcPr>
            <w:tcW w:type="dxa" w:w="46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/services/cloud-and-hyperscaling</w:t>
            </w:r>
          </w:p>
        </w:tc>
      </w:tr>
      <w:tr>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Data Analytics</w:t>
            </w:r>
          </w:p>
        </w:tc>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/services/data-analytics</w:t>
            </w:r>
          </w:p>
        </w:tc>
      </w:tr>
      <w:tr>
        <w:tc>
          <w:tcPr>
            <w:tcW w:type="dxa" w:w="46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AI Security</w:t>
            </w:r>
          </w:p>
        </w:tc>
        <w:tc>
          <w:tcPr>
            <w:tcW w:type="dxa" w:w="46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/services/ai-security-service</w:t>
            </w:r>
          </w:p>
        </w:tc>
      </w:tr>
    </w:tbl>
    <w:p>
      <w:pPr>
        <w:spacing w:after="160" w:before="80"/>
      </w:pPr>
      <w:r>
        <w:rPr>
          <w:rFonts w:ascii="Calibri" w:cs="Calibri" w:eastAsia="Calibri" w:hAnsi="Calibri"/>
          <w:b/>
          <w:bCs/>
          <w:color w:val="5A5A6E"/>
          <w:sz w:val="19"/>
          <w:szCs w:val="19"/>
        </w:rPr>
        <w:t xml:space="preserve">Resources block. </w:t>
      </w:r>
      <w:r>
        <w:rPr>
          <w:rFonts w:ascii="Calibri" w:cs="Calibri" w:eastAsia="Calibri" w:hAnsi="Calibri"/>
          <w:i/>
          <w:iCs/>
          <w:color w:val="5A5A6E"/>
          <w:sz w:val="19"/>
          <w:szCs w:val="19"/>
        </w:rPr>
        <w:t xml:space="preserve">Add supporting articles from §5 here as they publish.</w:t>
      </w:r>
    </w:p>
    <w:p>
      <w:r>
        <w:br w:type="page"/>
      </w:r>
    </w:p>
    <w:p>
      <w:pPr>
        <w:pStyle w:val="Heading1"/>
        <w:spacing w:after="160" w:before="360"/>
      </w:pPr>
      <w:r>
        <w:rPr>
          <w:rFonts w:ascii="Calibri" w:cs="Calibri" w:eastAsia="Calibri" w:hAnsi="Calibri"/>
          <w:b/>
          <w:bCs/>
          <w:color w:val="1B1B3A"/>
          <w:sz w:val="32"/>
          <w:szCs w:val="32"/>
        </w:rPr>
        <w:t xml:space="preserve">4. Lead capture and routing</w:t>
      </w:r>
    </w:p>
    <w:p>
      <w:pPr>
        <w:spacing w:after="120" w:before="0"/>
      </w:pPr>
      <w:r>
        <w:rPr>
          <w:rFonts w:ascii="Calibri" w:cs="Calibri" w:eastAsia="Calibri" w:hAnsi="Calibri"/>
          <w:sz w:val="21"/>
          <w:szCs w:val="21"/>
        </w:rPr>
        <w:t xml:space="preserve">Three capture points, one per level of buyer readiness. A page with a single "contact us" loses everyone who isn’t ready to talk today — that is where a sustainable pipeline comes from.</w:t>
      </w:r>
    </w:p>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800"/>
        <w:gridCol w:w="2400"/>
        <w:gridCol w:w="2860"/>
      </w:tblGrid>
      <w:tr>
        <w:trPr>
          <w:tblHeader/>
        </w:trPr>
        <w:tc>
          <w:tcPr>
            <w:tcW w:type="dxa" w:w="13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Readiness</w:t>
            </w:r>
          </w:p>
        </w:tc>
        <w:tc>
          <w:tcPr>
            <w:tcW w:type="dxa" w:w="28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Buyer state</w:t>
            </w:r>
          </w:p>
        </w:tc>
        <w:tc>
          <w:tcPr>
            <w:tcW w:type="dxa" w:w="24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Capture</w:t>
            </w:r>
          </w:p>
        </w:tc>
        <w:tc>
          <w:tcPr>
            <w:tcW w:type="dxa" w:w="28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Fields</w:t>
            </w:r>
          </w:p>
        </w:tc>
      </w:tr>
      <w:tr>
        <w:tc>
          <w:tcPr>
            <w:tcW w:type="dxa" w:w="1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High</w:t>
            </w:r>
          </w:p>
        </w:tc>
        <w:tc>
          <w:tcPr>
            <w:tcW w:type="dxa" w:w="2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Has a system in mind, and a budget or deadline</w:t>
            </w:r>
          </w:p>
        </w:tc>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Book a 2-Week Discovery — hero, role cards 1 and 2, band</w:t>
            </w:r>
          </w:p>
        </w:tc>
        <w:tc>
          <w:tcPr>
            <w:tcW w:type="dxa" w:w="28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Name · work email · company · company size · role (pre-filled from role card) · one-line system summary</w:t>
            </w:r>
          </w:p>
        </w:tc>
      </w:tr>
      <w:tr>
        <w:tc>
          <w:tcPr>
            <w:tcW w:type="dxa" w:w="1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Medium</w:t>
            </w:r>
          </w:p>
        </w:tc>
        <w:tc>
          <w:tcPr>
            <w:tcW w:type="dxa" w:w="28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Knows there’s a problem, not ready to scope</w:t>
            </w:r>
          </w:p>
        </w:tc>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Legacy System Triage — hero, role card 3, band</w:t>
            </w:r>
          </w:p>
        </w:tc>
        <w:tc>
          <w:tcPr>
            <w:tcW w:type="dxa" w:w="28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Eight fields — below</w:t>
            </w:r>
          </w:p>
        </w:tc>
      </w:tr>
      <w:tr>
        <w:tc>
          <w:tcPr>
            <w:tcW w:type="dxa" w:w="1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Low</w:t>
            </w:r>
          </w:p>
        </w:tc>
        <w:tc>
          <w:tcPr>
            <w:tcW w:type="dxa" w:w="2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Researching, building a business case</w:t>
            </w:r>
          </w:p>
        </w:tc>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Decision Guide PDF</w:t>
            </w:r>
          </w:p>
        </w:tc>
        <w:tc>
          <w:tcPr>
            <w:tcW w:type="dxa" w:w="28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Work email only</w:t>
            </w:r>
          </w:p>
        </w:tc>
      </w:tr>
    </w:tbl>
    <w:p>
      <w:pPr>
        <w:pStyle w:val="Heading2"/>
        <w:spacing w:after="140" w:before="300"/>
      </w:pPr>
      <w:r>
        <w:rPr>
          <w:rFonts w:ascii="Calibri" w:cs="Calibri" w:eastAsia="Calibri" w:hAnsi="Calibri"/>
          <w:b/>
          <w:bCs/>
          <w:color w:val="2E5AAC"/>
          <w:sz w:val="26"/>
          <w:szCs w:val="26"/>
        </w:rPr>
        <w:t xml:space="preserve">Triage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Field</w:t>
            </w:r>
          </w:p>
        </w:tc>
        <w:tc>
          <w:tcPr>
            <w:tcW w:type="dxa" w:w="14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Type</w:t>
            </w:r>
          </w:p>
        </w:tc>
        <w:tc>
          <w:tcPr>
            <w:tcW w:type="dxa" w:w="53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Options</w:t>
            </w:r>
          </w:p>
        </w:tc>
      </w:tr>
      <w:tr>
        <w:tc>
          <w:tcPr>
            <w:tcW w:type="dxa" w:w="2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What does the system do?</w:t>
            </w:r>
          </w:p>
        </w:tc>
        <w:tc>
          <w:tcPr>
            <w:tcW w:type="dxa" w:w="1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Short text</w:t>
            </w:r>
          </w:p>
        </w:tc>
        <w:tc>
          <w:tcPr>
            <w:tcW w:type="dxa" w:w="53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t>
            </w:r>
          </w:p>
        </w:tc>
      </w:tr>
      <w:tr>
        <w:tc>
          <w:tcPr>
            <w:tcW w:type="dxa" w:w="2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Platform and language</w:t>
            </w:r>
          </w:p>
        </w:tc>
        <w:tc>
          <w:tcPr>
            <w:tcW w:type="dxa" w:w="1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Short text</w:t>
            </w:r>
          </w:p>
        </w:tc>
        <w:tc>
          <w:tcPr>
            <w:tcW w:type="dxa" w:w="53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Placeholder: e.g. COBOL, RPG, Java 8, PHP application on a single server, on-premise database</w:t>
            </w:r>
          </w:p>
        </w:tc>
      </w:tr>
      <w:tr>
        <w:tc>
          <w:tcPr>
            <w:tcW w:type="dxa" w:w="2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Roughly how old is it?</w:t>
            </w:r>
          </w:p>
        </w:tc>
        <w:tc>
          <w:tcPr>
            <w:tcW w:type="dxa" w:w="1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Dropdown</w:t>
            </w:r>
          </w:p>
        </w:tc>
        <w:tc>
          <w:tcPr>
            <w:tcW w:type="dxa" w:w="53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Under 5 years · 5–10 years · 10–20 years · 20+ years</w:t>
            </w:r>
          </w:p>
        </w:tc>
      </w:tr>
      <w:tr>
        <w:tc>
          <w:tcPr>
            <w:tcW w:type="dxa" w:w="2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What’s forcing the decision?</w:t>
            </w:r>
          </w:p>
        </w:tc>
        <w:tc>
          <w:tcPr>
            <w:tcW w:type="dxa" w:w="1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Dropdown</w:t>
            </w:r>
          </w:p>
        </w:tc>
        <w:tc>
          <w:tcPr>
            <w:tcW w:type="dxa" w:w="53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Vendor support ending · Can’t integrate new systems · Data is hard to access · AI or analytics initiative blocked · Security or audit finding · Cost to maintain · Other</w:t>
            </w:r>
          </w:p>
        </w:tc>
      </w:tr>
      <w:tr>
        <w:tc>
          <w:tcPr>
            <w:tcW w:type="dxa" w:w="2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Timeline</w:t>
            </w:r>
          </w:p>
        </w:tc>
        <w:tc>
          <w:tcPr>
            <w:tcW w:type="dxa" w:w="1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Dropdown</w:t>
            </w:r>
          </w:p>
        </w:tc>
        <w:tc>
          <w:tcPr>
            <w:tcW w:type="dxa" w:w="53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Already started · Within 6 months · 6–12 months · Exploring</w:t>
            </w:r>
          </w:p>
        </w:tc>
      </w:tr>
      <w:tr>
        <w:tc>
          <w:tcPr>
            <w:tcW w:type="dxa" w:w="2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Your role</w:t>
            </w:r>
          </w:p>
        </w:tc>
        <w:tc>
          <w:tcPr>
            <w:tcW w:type="dxa" w:w="1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Dropdown</w:t>
            </w:r>
          </w:p>
        </w:tc>
        <w:tc>
          <w:tcPr>
            <w:tcW w:type="dxa" w:w="53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Head of Data / CDO · CIO / CTO / Transformation lead · Head of Engineering or Platform · Security or risk · Other — pre-filled when arriving from a role card</w:t>
            </w:r>
          </w:p>
        </w:tc>
      </w:tr>
      <w:tr>
        <w:tc>
          <w:tcPr>
            <w:tcW w:type="dxa" w:w="2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Company size</w:t>
            </w:r>
          </w:p>
        </w:tc>
        <w:tc>
          <w:tcPr>
            <w:tcW w:type="dxa" w:w="1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Dropdown</w:t>
            </w:r>
          </w:p>
        </w:tc>
        <w:tc>
          <w:tcPr>
            <w:tcW w:type="dxa" w:w="53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Under 50 · 50–499 · 500–999 · 1,000–10,000 · 10,000+</w:t>
            </w:r>
          </w:p>
        </w:tc>
      </w:tr>
      <w:tr>
        <w:tc>
          <w:tcPr>
            <w:tcW w:type="dxa" w:w="2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Work email</w:t>
            </w:r>
          </w:p>
        </w:tc>
        <w:tc>
          <w:tcPr>
            <w:tcW w:type="dxa" w:w="1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Email</w:t>
            </w:r>
          </w:p>
        </w:tc>
        <w:tc>
          <w:tcPr>
            <w:tcW w:type="dxa" w:w="53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w:t>
            </w:r>
          </w:p>
        </w:tc>
      </w:tr>
    </w:tbl>
    <w:p>
      <w:pPr>
        <w:spacing w:after="120"/>
      </w:pPr>
      <w:r>
        <w:rPr>
          <w:sz w:val="2"/>
          <w:szCs w:val="2"/>
        </w:rPr>
        <w:t xml:space="preserve"/>
      </w:r>
    </w:p>
    <w:p>
      <w:pPr>
        <w:pStyle w:val="Heading2"/>
        <w:spacing w:after="140" w:before="300"/>
      </w:pPr>
      <w:r>
        <w:rPr>
          <w:rFonts w:ascii="Calibri" w:cs="Calibri" w:eastAsia="Calibri" w:hAnsi="Calibri"/>
          <w:b/>
          <w:bCs/>
          <w:color w:val="2E5AAC"/>
          <w:sz w:val="26"/>
          <w:szCs w:val="26"/>
        </w:rPr>
        <w:t xml:space="preserve">Routing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If</w:t>
            </w:r>
          </w:p>
        </w:tc>
        <w:tc>
          <w:tcPr>
            <w:tcW w:type="dxa" w:w="37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Then</w:t>
            </w:r>
          </w:p>
        </w:tc>
      </w:tr>
      <w:tr>
        <w:tc>
          <w:tcPr>
            <w:tcW w:type="dxa" w:w="5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Company size 500+ AND forcing the decision = "AI or analytics initiative blocked", "Data is hard to access" or "Vendor support ending" AND timeline = "Already started" or "Within 6 months"</w:t>
            </w:r>
          </w:p>
        </w:tc>
        <w:tc>
          <w:tcPr>
            <w:tcW w:type="dxa" w:w="3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Priority — solutions architect replies</w:t>
            </w:r>
          </w:p>
        </w:tc>
      </w:tr>
      <w:tr>
        <w:tc>
          <w:tcPr>
            <w:tcW w:type="dxa" w:w="5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Role = Head of Data / CDO or CIO / CTO / Transformation lead, any size 500+</w:t>
            </w:r>
          </w:p>
        </w:tc>
        <w:tc>
          <w:tcPr>
            <w:tcW w:type="dxa" w:w="3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Standard reply; send the Decision Guide and the discovery page</w:t>
            </w:r>
          </w:p>
        </w:tc>
      </w:tr>
      <w:tr>
        <w:tc>
          <w:tcPr>
            <w:tcW w:type="dxa" w:w="5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Role = Head of Engineering or Platform, company size 50–499</w:t>
            </w:r>
          </w:p>
        </w:tc>
        <w:tc>
          <w:tcPr>
            <w:tcW w:type="dxa" w:w="3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Standard reply — fits the platform-builder profile</w:t>
            </w:r>
          </w:p>
        </w:tc>
      </w:tr>
      <w:tr>
        <w:tc>
          <w:tcPr>
            <w:tcW w:type="dxa" w:w="5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Company size under 50</w:t>
            </w:r>
          </w:p>
        </w:tc>
        <w:tc>
          <w:tcPr>
            <w:tcW w:type="dxa" w:w="3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Nurture only</w:t>
            </w:r>
          </w:p>
        </w:tc>
      </w:tr>
      <w:tr>
        <w:tc>
          <w:tcPr>
            <w:tcW w:type="dxa" w:w="5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Platform mentions mainframe</w:t>
            </w:r>
          </w:p>
        </w:tc>
        <w:tc>
          <w:tcPr>
            <w:tcW w:type="dxa" w:w="3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Solutions architect reviews fit before any reply</w:t>
            </w:r>
          </w:p>
        </w:tc>
      </w:tr>
      <w:tr>
        <w:tc>
          <w:tcPr>
            <w:tcW w:type="dxa" w:w="5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Everything else</w:t>
            </w:r>
          </w:p>
        </w:tc>
        <w:tc>
          <w:tcPr>
            <w:tcW w:type="dxa" w:w="3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Standard reply, then nurture sequence</w:t>
            </w:r>
          </w:p>
        </w:tc>
      </w:tr>
    </w:tbl>
    <w:p>
      <w:pPr>
        <w:spacing w:after="80"/>
      </w:pPr>
      <w:r>
        <w:rPr>
          <w:sz w:val="2"/>
          <w:szCs w:val="2"/>
        </w:rPr>
        <w:t xml:space="preserve"/>
      </w:r>
    </w:p>
    <w:p>
      <w:pPr>
        <w:spacing w:after="200" w:before="80"/>
      </w:pPr>
      <w:r>
        <w:rPr>
          <w:rFonts w:ascii="Calibri" w:cs="Calibri" w:eastAsia="Calibri" w:hAnsi="Calibri"/>
          <w:b/>
          <w:bCs/>
          <w:color w:val="B02A2A"/>
          <w:sz w:val="19"/>
          <w:szCs w:val="19"/>
        </w:rPr>
        <w:t xml:space="preserve">Pipeline risk. </w:t>
      </w:r>
      <w:r>
        <w:rPr>
          <w:rFonts w:ascii="Calibri" w:cs="Calibri" w:eastAsia="Calibri" w:hAnsi="Calibri"/>
          <w:color w:val="B02A2A"/>
          <w:sz w:val="19"/>
          <w:szCs w:val="19"/>
        </w:rPr>
        <w:t xml:space="preserve">The triage form promises a reply from a solutions architect. If no one owns those replies, the form produces dead leads and damages the brand. Assign a named owner and an internal response target before launch, or ship without the triage column.</w:t>
      </w:r>
    </w:p>
    <w:p>
      <w:pPr>
        <w:pStyle w:val="Heading2"/>
        <w:spacing w:after="140" w:before="300"/>
      </w:pPr>
      <w:r>
        <w:rPr>
          <w:rFonts w:ascii="Calibri" w:cs="Calibri" w:eastAsia="Calibri" w:hAnsi="Calibri"/>
          <w:b/>
          <w:bCs/>
          <w:color w:val="2E5AAC"/>
          <w:sz w:val="26"/>
          <w:szCs w:val="26"/>
        </w:rPr>
        <w:t xml:space="preserve">Why the guide is gated but the content isn’t</w:t>
      </w:r>
    </w:p>
    <w:p>
      <w:pPr>
        <w:spacing w:after="120" w:before="0"/>
      </w:pPr>
      <w:r>
        <w:rPr>
          <w:rFonts w:ascii="Calibri" w:cs="Calibri" w:eastAsia="Calibri" w:hAnsi="Calibri"/>
          <w:sz w:val="21"/>
          <w:szCs w:val="21"/>
        </w:rPr>
        <w:t xml:space="preserve">Everything in the Decision Guide is also on the page, ungated. That’s what search engines and AI engines index and cite. The PDF is a convenience version for a buyer taking it into a steering committee. Gating the substance would trade AI visibility for a handful of email addresses.</w:t>
      </w:r>
    </w:p>
    <w:p>
      <w:r>
        <w:br w:type="page"/>
      </w:r>
    </w:p>
    <w:p>
      <w:pPr>
        <w:pStyle w:val="Heading1"/>
        <w:spacing w:after="160" w:before="360"/>
      </w:pPr>
      <w:r>
        <w:rPr>
          <w:rFonts w:ascii="Calibri" w:cs="Calibri" w:eastAsia="Calibri" w:hAnsi="Calibri"/>
          <w:b/>
          <w:bCs/>
          <w:color w:val="1B1B3A"/>
          <w:sz w:val="32"/>
          <w:szCs w:val="32"/>
        </w:rPr>
        <w:t xml:space="preserve">5. Supporting content cluster</w:t>
      </w:r>
    </w:p>
    <w:p>
      <w:pPr>
        <w:spacing w:after="120" w:before="0"/>
      </w:pPr>
      <w:r>
        <w:rPr>
          <w:rFonts w:ascii="Calibri" w:cs="Calibri" w:eastAsia="Calibri" w:hAnsi="Calibri"/>
          <w:sz w:val="21"/>
          <w:szCs w:val="21"/>
        </w:rPr>
        <w:t xml:space="preserve">These articles keep the page fed with search and AI traffic after launch. Each links to this page with the anchor text given; this page links back from its Resources block.</w:t>
      </w:r>
    </w:p>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900"/>
        <w:gridCol w:w="2500"/>
        <w:gridCol w:w="2460"/>
      </w:tblGrid>
      <w:tr>
        <w:trPr>
          <w:tblHeader/>
        </w:trPr>
        <w:tc>
          <w:tcPr>
            <w:tcW w:type="dxa" w:w="5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t>
            </w:r>
          </w:p>
        </w:tc>
        <w:tc>
          <w:tcPr>
            <w:tcW w:type="dxa" w:w="39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Article</w:t>
            </w:r>
          </w:p>
        </w:tc>
        <w:tc>
          <w:tcPr>
            <w:tcW w:type="dxa" w:w="25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Written for</w:t>
            </w:r>
          </w:p>
        </w:tc>
        <w:tc>
          <w:tcPr>
            <w:tcW w:type="dxa" w:w="24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Anchor text to this page</w:t>
            </w:r>
          </w:p>
        </w:tc>
      </w:tr>
      <w:tr>
        <w:tc>
          <w:tcPr>
            <w:tcW w:type="dxa" w:w="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1</w:t>
            </w:r>
          </w:p>
        </w:tc>
        <w:tc>
          <w:tcPr>
            <w:tcW w:type="dxa" w:w="3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Rehost, Replatform, Refactor or Re-architect? How to Choose for Each Legacy System</w:t>
            </w:r>
          </w:p>
        </w:tc>
        <w:tc>
          <w:tcPr>
            <w:tcW w:type="dxa" w:w="2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Engineering and platform leaders evaluating options</w:t>
            </w:r>
          </w:p>
        </w:tc>
        <w:tc>
          <w:tcPr>
            <w:tcW w:type="dxa" w:w="24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legacy system modernization services</w:t>
            </w:r>
          </w:p>
        </w:tc>
      </w:tr>
      <w:tr>
        <w:tc>
          <w:tcPr>
            <w:tcW w:type="dxa" w:w="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2</w:t>
            </w:r>
          </w:p>
        </w:tc>
        <w:tc>
          <w:tcPr>
            <w:tcW w:type="dxa" w:w="39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How to Modernize a Legacy System Without Downtime</w:t>
            </w:r>
          </w:p>
        </w:tc>
        <w:tc>
          <w:tcPr>
            <w:tcW w:type="dxa" w:w="2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CIOs and CTOs worried about disruption</w:t>
            </w:r>
          </w:p>
        </w:tc>
        <w:tc>
          <w:tcPr>
            <w:tcW w:type="dxa" w:w="24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phased legacy modernization</w:t>
            </w:r>
          </w:p>
        </w:tc>
      </w:tr>
      <w:tr>
        <w:tc>
          <w:tcPr>
            <w:tcW w:type="dxa" w:w="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3</w:t>
            </w:r>
          </w:p>
        </w:tc>
        <w:tc>
          <w:tcPr>
            <w:tcW w:type="dxa" w:w="3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What AI Can — and Can’t — Do in Legacy Code Modernization</w:t>
            </w:r>
          </w:p>
        </w:tc>
        <w:tc>
          <w:tcPr>
            <w:tcW w:type="dxa" w:w="2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Engineering leaders; highly citable</w:t>
            </w:r>
          </w:p>
        </w:tc>
        <w:tc>
          <w:tcPr>
            <w:tcW w:type="dxa" w:w="24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AI in legacy modernization</w:t>
            </w:r>
          </w:p>
        </w:tc>
      </w:tr>
      <w:tr>
        <w:tc>
          <w:tcPr>
            <w:tcW w:type="dxa" w:w="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4</w:t>
            </w:r>
          </w:p>
        </w:tc>
        <w:tc>
          <w:tcPr>
            <w:tcW w:type="dxa" w:w="39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How to Build a Business Case for Modernizing a Legacy System</w:t>
            </w:r>
          </w:p>
        </w:tc>
        <w:tc>
          <w:tcPr>
            <w:tcW w:type="dxa" w:w="2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CIOs and transformation leaders</w:t>
            </w:r>
          </w:p>
        </w:tc>
        <w:tc>
          <w:tcPr>
            <w:tcW w:type="dxa" w:w="24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modernize legacy systems for AI</w:t>
            </w:r>
          </w:p>
        </w:tc>
      </w:tr>
      <w:tr>
        <w:tc>
          <w:tcPr>
            <w:tcW w:type="dxa" w:w="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5</w:t>
            </w:r>
          </w:p>
        </w:tc>
        <w:tc>
          <w:tcPr>
            <w:tcW w:type="dxa" w:w="3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Should You Modernize Before You Start an AI Project?</w:t>
            </w:r>
          </w:p>
        </w:tc>
        <w:tc>
          <w:tcPr>
            <w:tcW w:type="dxa" w:w="2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CIOs and heads of data; links the existing "why AI projects stall" post, which ranks first with no clicks</w:t>
            </w:r>
          </w:p>
        </w:tc>
        <w:tc>
          <w:tcPr>
            <w:tcW w:type="dxa" w:w="24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legacy modernization discovery</w:t>
            </w:r>
          </w:p>
        </w:tc>
      </w:tr>
      <w:tr>
        <w:tc>
          <w:tcPr>
            <w:tcW w:type="dxa" w:w="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6</w:t>
            </w:r>
          </w:p>
        </w:tc>
        <w:tc>
          <w:tcPr>
            <w:tcW w:type="dxa" w:w="39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From Many Sources of Truth to One: Consolidating SAP and Application Data for Analytics and AI</w:t>
            </w:r>
          </w:p>
        </w:tc>
        <w:tc>
          <w:tcPr>
            <w:tcW w:type="dxa" w:w="2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Heads of data; uses the corrected retailer case</w:t>
            </w:r>
          </w:p>
        </w:tc>
        <w:tc>
          <w:tcPr>
            <w:tcW w:type="dxa" w:w="24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legacy data modernization</w:t>
            </w:r>
          </w:p>
        </w:tc>
      </w:tr>
      <w:tr>
        <w:tc>
          <w:tcPr>
            <w:tcW w:type="dxa" w:w="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8</w:t>
            </w:r>
          </w:p>
        </w:tc>
        <w:tc>
          <w:tcPr>
            <w:tcW w:type="dxa" w:w="3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How to Migrate Legacy Data Sources Without Breaking Your Reports</w:t>
            </w:r>
          </w:p>
        </w:tc>
        <w:tc>
          <w:tcPr>
            <w:tcW w:type="dxa" w:w="2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Heads of data — their core fear</w:t>
            </w:r>
          </w:p>
        </w:tc>
        <w:tc>
          <w:tcPr>
            <w:tcW w:type="dxa" w:w="24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modernize legacy data sources</w:t>
            </w:r>
          </w:p>
        </w:tc>
      </w:tr>
      <w:tr>
        <w:tc>
          <w:tcPr>
            <w:tcW w:type="dxa" w:w="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9</w:t>
            </w:r>
          </w:p>
        </w:tc>
        <w:tc>
          <w:tcPr>
            <w:tcW w:type="dxa" w:w="39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Migrating COBOL to Java With AI: What Changes and What Still Needs Engineers</w:t>
            </w:r>
          </w:p>
        </w:tc>
        <w:tc>
          <w:tcPr>
            <w:tcW w:type="dxa" w:w="2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Engineering leaders and CIOs; the page’s strongest proof</w:t>
            </w:r>
          </w:p>
        </w:tc>
        <w:tc>
          <w:tcPr>
            <w:tcW w:type="dxa" w:w="24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COBOL to Java migration</w:t>
            </w:r>
          </w:p>
        </w:tc>
      </w:tr>
      <w:tr>
        <w:tc>
          <w:tcPr>
            <w:tcW w:type="dxa" w:w="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10</w:t>
            </w:r>
          </w:p>
        </w:tc>
        <w:tc>
          <w:tcPr>
            <w:tcW w:type="dxa" w:w="3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Upgrading From Java 8: Why It’s a Modernization Project, Not a Version Bump</w:t>
            </w:r>
          </w:p>
        </w:tc>
        <w:tc>
          <w:tcPr>
            <w:tcW w:type="dxa" w:w="2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Engineering and platform leaders</w:t>
            </w:r>
          </w:p>
        </w:tc>
        <w:tc>
          <w:tcPr>
            <w:tcW w:type="dxa" w:w="24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Java modernization</w:t>
            </w:r>
          </w:p>
        </w:tc>
      </w:tr>
      <w:tr>
        <w:tc>
          <w:tcPr>
            <w:tcW w:type="dxa" w:w="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7</w:t>
            </w:r>
          </w:p>
        </w:tc>
        <w:tc>
          <w:tcPr>
            <w:tcW w:type="dxa" w:w="39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When to Wrap a Legacy System in APIs Instead of Migrating It</w:t>
            </w:r>
          </w:p>
        </w:tc>
        <w:tc>
          <w:tcPr>
            <w:tcW w:type="dxa" w:w="2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CTOs and platform leaders; an angle no competitor covers</w:t>
            </w:r>
          </w:p>
        </w:tc>
        <w:tc>
          <w:tcPr>
            <w:tcW w:type="dxa" w:w="24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API layer for legacy systems</w:t>
            </w:r>
          </w:p>
        </w:tc>
      </w:tr>
    </w:tbl>
    <w:p>
      <w:pPr>
        <w:pStyle w:val="Heading1"/>
        <w:spacing w:after="160" w:before="360"/>
      </w:pPr>
      <w:r>
        <w:rPr>
          <w:rFonts w:ascii="Calibri" w:cs="Calibri" w:eastAsia="Calibri" w:hAnsi="Calibri"/>
          <w:b/>
          <w:bCs/>
          <w:color w:val="1B1B3A"/>
          <w:sz w:val="32"/>
          <w:szCs w:val="32"/>
        </w:rPr>
        <w:t xml:space="preserve">6. Keywords and competitive position</w:t>
      </w:r>
    </w:p>
    <w:p>
      <w:pPr>
        <w:spacing w:after="160" w:before="80"/>
      </w:pPr>
      <w:r>
        <w:rPr>
          <w:rFonts w:ascii="Calibri" w:cs="Calibri" w:eastAsia="Calibri" w:hAnsi="Calibri"/>
          <w:b/>
          <w:bCs/>
          <w:color w:val="5A5A6E"/>
          <w:sz w:val="19"/>
          <w:szCs w:val="19"/>
        </w:rPr>
        <w:t xml:space="preserve">Method note. </w:t>
      </w:r>
      <w:r>
        <w:rPr>
          <w:rFonts w:ascii="Calibri" w:cs="Calibri" w:eastAsia="Calibri" w:hAnsi="Calibri"/>
          <w:i/>
          <w:iCs/>
          <w:color w:val="5A5A6E"/>
          <w:sz w:val="19"/>
          <w:szCs w:val="19"/>
        </w:rPr>
        <w:t xml:space="preserve">xLoop has no keyword volume tool. Priorities are reasoned from search results and intent, not measured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Tier</w:t>
            </w:r>
          </w:p>
        </w:tc>
        <w:tc>
          <w:tcPr>
            <w:tcW w:type="dxa" w:w="67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Terms</w:t>
            </w:r>
          </w:p>
        </w:tc>
      </w:tr>
      <w:tr>
        <w:tc>
          <w:tcPr>
            <w:tcW w:type="dxa" w:w="2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Primary</w:t>
            </w:r>
          </w:p>
        </w:tc>
        <w:tc>
          <w:tcPr>
            <w:tcW w:type="dxa" w:w="6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legacy system modernization services</w:t>
            </w:r>
          </w:p>
        </w:tc>
      </w:tr>
      <w:tr>
        <w:tc>
          <w:tcPr>
            <w:tcW w:type="dxa" w:w="2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Secondary</w:t>
            </w:r>
          </w:p>
        </w:tc>
        <w:tc>
          <w:tcPr>
            <w:tcW w:type="dxa" w:w="6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legacy application modernization services · legacy software modernization · application modernization consulting · modernize legacy systems</w:t>
            </w:r>
          </w:p>
        </w:tc>
      </w:tr>
      <w:tr>
        <w:tc>
          <w:tcPr>
            <w:tcW w:type="dxa" w:w="2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Questions (each is an H2 or FAQ)</w:t>
            </w:r>
          </w:p>
        </w:tc>
        <w:tc>
          <w:tcPr>
            <w:tcW w:type="dxa" w:w="6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what is legacy system modernization · rehost vs refactor vs re-architect · modernize without downtime · how long it takes · what it costs · modernize before AI · no documentation · can AI convert legacy code · which systems not to modernize</w:t>
            </w:r>
          </w:p>
        </w:tc>
      </w:tr>
      <w:tr>
        <w:tc>
          <w:tcPr>
            <w:tcW w:type="dxa" w:w="2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Owned angles</w:t>
            </w:r>
          </w:p>
        </w:tc>
        <w:tc>
          <w:tcPr>
            <w:tcW w:type="dxa" w:w="6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modernize legacy systems for AI · legacy system blocking AI · API layer for legacy systems · legacy data modernization for analytics · COBOL to Java migration · AI-assisted COBOL modernization · RPG modernization · Java 8 upgrade</w:t>
            </w:r>
          </w:p>
        </w:tc>
      </w:tr>
      <w:tr>
        <w:tc>
          <w:tcPr>
            <w:tcW w:type="dxa" w:w="2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Regional long-tail</w:t>
            </w:r>
          </w:p>
        </w:tc>
        <w:tc>
          <w:tcPr>
            <w:tcW w:type="dxa" w:w="6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legacy system modernization UAE · Saudi Arabia · Pakistan — served by the at-a-glance block and schema, not separate pages</w:t>
            </w:r>
          </w:p>
        </w:tc>
      </w:tr>
      <w:tr>
        <w:tc>
          <w:tcPr>
            <w:tcW w:type="dxa" w:w="2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Paid search negatives</w:t>
            </w:r>
          </w:p>
        </w:tc>
        <w:tc>
          <w:tcPr>
            <w:tcW w:type="dxa" w:w="6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core banking replacement · mainframe replacement</w:t>
            </w:r>
          </w:p>
        </w:tc>
      </w:tr>
    </w:tbl>
    <w:p>
      <w:pPr>
        <w:spacing w:after="160"/>
      </w:pPr>
      <w:r>
        <w:rPr>
          <w:sz w:val="2"/>
          <w:szCs w:val="2"/>
        </w:rPr>
        <w:t xml:space="preserve"/>
      </w:r>
    </w:p>
    <w:p>
      <w:pPr>
        <w:pStyle w:val="Heading2"/>
        <w:spacing w:after="140" w:before="300"/>
      </w:pPr>
      <w:r>
        <w:rPr>
          <w:rFonts w:ascii="Calibri" w:cs="Calibri" w:eastAsia="Calibri" w:hAnsi="Calibri"/>
          <w:b/>
          <w:bCs/>
          <w:color w:val="2E5AAC"/>
          <w:sz w:val="26"/>
          <w:szCs w:val="26"/>
        </w:rPr>
        <w:t xml:space="preserve">Competitive summary</w:t>
      </w:r>
    </w:p>
    <w:p>
      <w:pPr>
        <w:spacing w:after="120" w:before="0"/>
      </w:pPr>
      <w:r>
        <w:rPr>
          <w:rFonts w:ascii="Calibri" w:cs="Calibri" w:eastAsia="Calibri" w:hAnsi="Calibri"/>
          <w:sz w:val="21"/>
          <w:szCs w:val="21"/>
        </w:rPr>
        <w:t xml:space="preserve">Compared: Itransition, Vention, ELEKS, Softura (page-one rankers) and 10Pearls (closest regional competitor).</w:t>
      </w:r>
    </w:p>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860"/>
        <w:gridCol w:w="3000"/>
      </w:tblGrid>
      <w:tr>
        <w:trPr>
          <w:tblHeader/>
        </w:trPr>
        <w:tc>
          <w:tcPr>
            <w:tcW w:type="dxa" w:w="15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
            </w:r>
          </w:p>
        </w:tc>
        <w:tc>
          <w:tcPr>
            <w:tcW w:type="dxa" w:w="48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Finding</w:t>
            </w:r>
          </w:p>
        </w:tc>
        <w:tc>
          <w:tcPr>
            <w:tcW w:type="dxa" w:w="30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What this page does</w:t>
            </w:r>
          </w:p>
        </w:tc>
      </w:tr>
      <w:tr>
        <w:tc>
          <w:tcPr>
            <w:tcW w:type="dxa" w:w="1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Table stakes</w:t>
            </w:r>
          </w:p>
        </w:tc>
        <w:tc>
          <w:tcPr>
            <w:tcW w:type="dxa" w:w="48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All have a definition, an approaches list, a 3–5 step process, case studies and an FAQ</w:t>
            </w:r>
          </w:p>
        </w:tc>
        <w:tc>
          <w:tcPr>
            <w:tcW w:type="dxa" w:w="3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Has all of them</w:t>
            </w:r>
          </w:p>
        </w:tc>
      </w:tr>
      <w:tr>
        <w:tc>
          <w:tcPr>
            <w:tcW w:type="dxa" w:w="1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Best practice</w:t>
            </w:r>
          </w:p>
        </w:tc>
        <w:tc>
          <w:tcPr>
            <w:tcW w:type="dxa" w:w="48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Vention answers real buyer fears and states discovery duration; Softura names who it’s for; Itransition answers cost and timeline; Vention and Softura offer tiered capture</w:t>
            </w:r>
          </w:p>
        </w:tc>
        <w:tc>
          <w:tcPr>
            <w:tcW w:type="dxa" w:w="3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Matches all four</w:t>
            </w:r>
          </w:p>
        </w:tc>
      </w:tr>
      <w:tr>
        <w:tc>
          <w:tcPr>
            <w:tcW w:type="dxa" w:w="1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Unclaimed</w:t>
            </w:r>
          </w:p>
        </w:tc>
        <w:tc>
          <w:tcPr>
            <w:tcW w:type="dxa" w:w="48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Nobody argues AI is the reason to modernize now</w:t>
            </w:r>
          </w:p>
        </w:tc>
        <w:tc>
          <w:tcPr>
            <w:tcW w:type="dxa" w:w="3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§3.6</w:t>
            </w:r>
          </w:p>
        </w:tc>
      </w:tr>
      <w:tr>
        <w:tc>
          <w:tcPr>
            <w:tcW w:type="dxa" w:w="1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Unclaimed</w:t>
            </w:r>
          </w:p>
        </w:tc>
        <w:tc>
          <w:tcPr>
            <w:tcW w:type="dxa" w:w="48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Nobody says which systems to leave alone</w:t>
            </w:r>
          </w:p>
        </w:tc>
        <w:tc>
          <w:tcPr>
            <w:tcW w:type="dxa" w:w="3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§3.5, FAQ Q13</w:t>
            </w:r>
          </w:p>
        </w:tc>
      </w:tr>
      <w:tr>
        <w:tc>
          <w:tcPr>
            <w:tcW w:type="dxa" w:w="1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Unclaimed</w:t>
            </w:r>
          </w:p>
        </w:tc>
        <w:tc>
          <w:tcPr>
            <w:tcW w:type="dxa" w:w="48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Nobody is candid about what AI can’t do in modernization</w:t>
            </w:r>
          </w:p>
        </w:tc>
        <w:tc>
          <w:tcPr>
            <w:tcW w:type="dxa" w:w="3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§3.8, FAQ Q8–9</w:t>
            </w:r>
          </w:p>
        </w:tc>
      </w:tr>
      <w:tr>
        <w:tc>
          <w:tcPr>
            <w:tcW w:type="dxa" w:w="1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Unclaimed</w:t>
            </w:r>
          </w:p>
        </w:tc>
        <w:tc>
          <w:tcPr>
            <w:tcW w:type="dxa" w:w="48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Nobody offers the API layer as a buyer option</w:t>
            </w:r>
          </w:p>
        </w:tc>
        <w:tc>
          <w:tcPr>
            <w:tcW w:type="dxa" w:w="3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§3.4 callout, article 7</w:t>
            </w:r>
          </w:p>
        </w:tc>
      </w:tr>
      <w:tr>
        <w:tc>
          <w:tcPr>
            <w:tcW w:type="dxa" w:w="1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Unclaimed</w:t>
            </w:r>
          </w:p>
        </w:tc>
        <w:tc>
          <w:tcPr>
            <w:tcW w:type="dxa" w:w="48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Nobody publishes a machine-readable at-a-glance block</w:t>
            </w:r>
          </w:p>
        </w:tc>
        <w:tc>
          <w:tcPr>
            <w:tcW w:type="dxa" w:w="3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§3.11</w:t>
            </w:r>
          </w:p>
        </w:tc>
      </w:tr>
      <w:tr>
        <w:tc>
          <w:tcPr>
            <w:tcW w:type="dxa" w:w="1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Differentiator</w:t>
            </w:r>
          </w:p>
        </w:tc>
        <w:tc>
          <w:tcPr>
            <w:tcW w:type="dxa" w:w="48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None of the five pages reviewed shows a delivered AI-assisted COBOL-to-Java migration</w:t>
            </w:r>
          </w:p>
        </w:tc>
        <w:tc>
          <w:tcPr>
            <w:tcW w:type="dxa" w:w="3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§3.8, §3.9, role card 3</w:t>
            </w:r>
          </w:p>
        </w:tc>
      </w:tr>
      <w:tr>
        <w:tc>
          <w:tcPr>
            <w:tcW w:type="dxa" w:w="1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xLoop weaker</w:t>
            </w:r>
          </w:p>
        </w:tc>
        <w:tc>
          <w:tcPr>
            <w:tcW w:type="dxa" w:w="48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Competitors claim broad legacy stacks, 8–15 named cases, metrics, decades of tenure and company certifications</w:t>
            </w:r>
          </w:p>
        </w:tc>
        <w:tc>
          <w:tcPr>
            <w:tcW w:type="dxa" w:w="3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Competes on depth and candor instead; names what it has delivered and what isn’t a fit</w:t>
            </w:r>
          </w:p>
        </w:tc>
      </w:tr>
    </w:tbl>
    <w:p>
      <w:r>
        <w:br w:type="page"/>
      </w:r>
    </w:p>
    <w:p>
      <w:pPr>
        <w:pStyle w:val="Heading1"/>
        <w:spacing w:after="160" w:before="360"/>
      </w:pPr>
      <w:r>
        <w:rPr>
          <w:rFonts w:ascii="Calibri" w:cs="Calibri" w:eastAsia="Calibri" w:hAnsi="Calibri"/>
          <w:b/>
          <w:bCs/>
          <w:color w:val="1B1B3A"/>
          <w:sz w:val="32"/>
          <w:szCs w:val="32"/>
        </w:rPr>
        <w:t xml:space="preserve">7. Schema outline</w:t>
      </w:r>
    </w:p>
    <w:p>
      <w:pPr>
        <w:spacing w:after="120" w:before="0"/>
      </w:pPr>
      <w:r>
        <w:rPr>
          <w:rFonts w:ascii="Calibri" w:cs="Calibri" w:eastAsia="Calibri" w:hAnsi="Calibri"/>
          <w:sz w:val="21"/>
          <w:szCs w:val="21"/>
        </w:rPr>
        <w:t xml:space="preserve">Emit as expanded JSON-LD in the server-rendered HTML.</w:t>
      </w:r>
    </w:p>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Type</w:t>
            </w:r>
          </w:p>
        </w:tc>
        <w:tc>
          <w:tcPr>
            <w:tcW w:type="dxa" w:w="73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Key properties</w:t>
            </w:r>
          </w:p>
        </w:tc>
      </w:tr>
      <w:tr>
        <w:tc>
          <w:tcPr>
            <w:tcW w:type="dxa" w:w="2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w:t>
            </w:r>
          </w:p>
        </w:tc>
        <w:tc>
          <w:tcPr>
            <w:tcW w:type="dxa" w:w="73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name: Legacy System Modernization · serviceType: Legacy system modernization · provider: xLoop Organization @id · areaServed: Asia, Middle East, Africa, Europe, North America · audience: BusinessAudience (CIOs, CTOs, heads of data and platform engineering) · hasOfferCatalog: the nine approaches from §3.4 · offers: Offer named "Legacy Modernization Discovery", url #start</w:t>
            </w:r>
          </w:p>
        </w:tc>
      </w:tr>
      <w:tr>
        <w:tc>
          <w:tcPr>
            <w:tcW w:type="dxa" w:w="2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FAQPage</w:t>
            </w:r>
          </w:p>
        </w:tc>
        <w:tc>
          <w:tcPr>
            <w:tcW w:type="dxa" w:w="73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All 15 questions and answers, text identical to the page</w:t>
            </w:r>
          </w:p>
        </w:tc>
      </w:tr>
      <w:tr>
        <w:tc>
          <w:tcPr>
            <w:tcW w:type="dxa" w:w="2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BreadcrumbList</w:t>
            </w:r>
          </w:p>
        </w:tc>
        <w:tc>
          <w:tcPr>
            <w:tcW w:type="dxa" w:w="73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Home › Services › Digital Transformation › Legacy System Modernization</w:t>
            </w:r>
          </w:p>
        </w:tc>
      </w:tr>
      <w:tr>
        <w:tc>
          <w:tcPr>
            <w:tcW w:type="dxa" w:w="2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Organization</w:t>
            </w:r>
          </w:p>
        </w:tc>
        <w:tc>
          <w:tcPr>
            <w:tcW w:type="dxa" w:w="73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Sitewide — name, url, logo, sameAs social profiles, the four office addresses</w:t>
            </w:r>
          </w:p>
        </w:tc>
      </w:tr>
    </w:tbl>
    <w:p>
      <w:pPr>
        <w:spacing w:after="80"/>
      </w:pPr>
      <w:r>
        <w:rPr>
          <w:sz w:val="2"/>
          <w:szCs w:val="2"/>
        </w:rPr>
        <w:t xml:space="preserve"/>
      </w:r>
    </w:p>
    <w:p>
      <w:pPr>
        <w:spacing w:after="200" w:before="80"/>
      </w:pPr>
      <w:r>
        <w:rPr>
          <w:rFonts w:ascii="Calibri" w:cs="Calibri" w:eastAsia="Calibri" w:hAnsi="Calibri"/>
          <w:b/>
          <w:bCs/>
          <w:color w:val="B02A2A"/>
          <w:sz w:val="19"/>
          <w:szCs w:val="19"/>
        </w:rPr>
        <w:t xml:space="preserve">Schema rules. </w:t>
      </w:r>
      <w:r>
        <w:rPr>
          <w:rFonts w:ascii="Calibri" w:cs="Calibri" w:eastAsia="Calibri" w:hAnsi="Calibri"/>
          <w:color w:val="B02A2A"/>
          <w:sz w:val="19"/>
          <w:szCs w:val="19"/>
        </w:rPr>
        <w:t xml:space="preserve">No price on any Offer. areaServed uses regions, not a country list — the country count is still an unresolved claim. Schema text must match visible page text exactly.</w:t>
      </w:r>
    </w:p>
    <w:p>
      <w:pPr>
        <w:pStyle w:val="Heading1"/>
        <w:spacing w:after="160" w:before="360"/>
      </w:pPr>
      <w:r>
        <w:rPr>
          <w:rFonts w:ascii="Calibri" w:cs="Calibri" w:eastAsia="Calibri" w:hAnsi="Calibri"/>
          <w:b/>
          <w:bCs/>
          <w:color w:val="1B1B3A"/>
          <w:sz w:val="32"/>
          <w:szCs w:val="32"/>
        </w:rPr>
        <w:t xml:space="preserve">8. Launch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000"/>
        <w:gridCol w:w="1800"/>
        <w:gridCol w:w="2060"/>
      </w:tblGrid>
      <w:tr>
        <w:trPr>
          <w:tblHeader/>
        </w:trPr>
        <w:tc>
          <w:tcPr>
            <w:tcW w:type="dxa" w:w="5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t>
            </w:r>
          </w:p>
        </w:tc>
        <w:tc>
          <w:tcPr>
            <w:tcW w:type="dxa" w:w="50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Dependency</w:t>
            </w:r>
          </w:p>
        </w:tc>
        <w:tc>
          <w:tcPr>
            <w:tcW w:type="dxa" w:w="18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Owner</w:t>
            </w:r>
          </w:p>
        </w:tc>
        <w:tc>
          <w:tcPr>
            <w:tcW w:type="dxa" w:w="20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Blocks</w:t>
            </w:r>
          </w:p>
        </w:tc>
      </w:tr>
      <w:tr>
        <w:tc>
          <w:tcPr>
            <w:tcW w:type="dxa" w:w="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1</w:t>
            </w:r>
          </w:p>
        </w:tc>
        <w:tc>
          <w:tcPr>
            <w:tcW w:type="dxa" w:w="5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Assign a named owner and an internal response target for triage replies</w:t>
            </w:r>
          </w:p>
        </w:tc>
        <w:tc>
          <w:tcPr>
            <w:tcW w:type="dxa" w:w="1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Sales / Solutions</w:t>
            </w:r>
          </w:p>
        </w:tc>
        <w:tc>
          <w:tcPr>
            <w:tcW w:type="dxa" w:w="2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Triage column and form</w:t>
            </w:r>
          </w:p>
        </w:tc>
      </w:tr>
      <w:tr>
        <w:tc>
          <w:tcPr>
            <w:tcW w:type="dxa" w:w="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2</w:t>
            </w:r>
          </w:p>
        </w:tc>
        <w:tc>
          <w:tcPr>
            <w:tcW w:type="dxa" w:w="5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Add an AI-tool use agreement step to engagement kickoff, and confirm the data controls on Cursor and Claude accounts used for client code</w:t>
            </w:r>
          </w:p>
        </w:tc>
        <w:tc>
          <w:tcPr>
            <w:tcW w:type="dxa" w:w="18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Delivery</w:t>
            </w:r>
          </w:p>
        </w:tc>
        <w:tc>
          <w:tcPr>
            <w:tcW w:type="dxa" w:w="2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FAQ Q9 and §3.8</w:t>
            </w:r>
          </w:p>
        </w:tc>
      </w:tr>
      <w:tr>
        <w:tc>
          <w:tcPr>
            <w:tcW w:type="dxa" w:w="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3</w:t>
            </w:r>
          </w:p>
        </w:tc>
        <w:tc>
          <w:tcPr>
            <w:tcW w:type="dxa" w:w="5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Delivery lead reads §3.7 (including the per-role discovery outputs), role card 1, and FAQ Q3, Q7, Q10, Q11, Q15 — the method statements</w:t>
            </w:r>
          </w:p>
        </w:tc>
        <w:tc>
          <w:tcPr>
            <w:tcW w:type="dxa" w:w="1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Delivery</w:t>
            </w:r>
          </w:p>
        </w:tc>
        <w:tc>
          <w:tcPr>
            <w:tcW w:type="dxa" w:w="2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Publish</w:t>
            </w:r>
          </w:p>
        </w:tc>
      </w:tr>
      <w:tr>
        <w:tc>
          <w:tcPr>
            <w:tcW w:type="dxa" w:w="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4</w:t>
            </w:r>
          </w:p>
        </w:tc>
        <w:tc>
          <w:tcPr>
            <w:tcW w:type="dxa" w:w="5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Build the Decision Guide PDF from §3.4, §3.5, §3.6 and §3.11</w:t>
            </w:r>
          </w:p>
        </w:tc>
        <w:tc>
          <w:tcPr>
            <w:tcW w:type="dxa" w:w="18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Marketing + Design</w:t>
            </w:r>
          </w:p>
        </w:tc>
        <w:tc>
          <w:tcPr>
            <w:tcW w:type="dxa" w:w="2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Third CTA column</w:t>
            </w:r>
          </w:p>
        </w:tc>
      </w:tr>
      <w:tr>
        <w:tc>
          <w:tcPr>
            <w:tcW w:type="dxa" w:w="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5</w:t>
            </w:r>
          </w:p>
        </w:tc>
        <w:tc>
          <w:tcPr>
            <w:tcW w:type="dxa" w:w="5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Fix the doubled "| xLoop Digital | xLoop Digital" title suffix</w:t>
            </w:r>
          </w:p>
        </w:tc>
        <w:tc>
          <w:tcPr>
            <w:tcW w:type="dxa" w:w="1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Dev</w:t>
            </w:r>
          </w:p>
        </w:tc>
        <w:tc>
          <w:tcPr>
            <w:tcW w:type="dxa" w:w="2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Every page</w:t>
            </w:r>
          </w:p>
        </w:tc>
      </w:tr>
      <w:tr>
        <w:tc>
          <w:tcPr>
            <w:tcW w:type="dxa" w:w="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6</w:t>
            </w:r>
          </w:p>
        </w:tc>
        <w:tc>
          <w:tcPr>
            <w:tcW w:type="dxa" w:w="5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Add llms.txt at the site root</w:t>
            </w:r>
          </w:p>
        </w:tc>
        <w:tc>
          <w:tcPr>
            <w:tcW w:type="dxa" w:w="18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Dev</w:t>
            </w:r>
          </w:p>
        </w:tc>
        <w:tc>
          <w:tcPr>
            <w:tcW w:type="dxa" w:w="2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AI-agent discoverability</w:t>
            </w:r>
          </w:p>
        </w:tc>
      </w:tr>
      <w:tr>
        <w:tc>
          <w:tcPr>
            <w:tcW w:type="dxa" w:w="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7</w:t>
            </w:r>
          </w:p>
        </w:tc>
        <w:tc>
          <w:tcPr>
            <w:tcW w:type="dxa" w:w="5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Publish this page before the Digital Transformation hub links to it</w:t>
            </w:r>
          </w:p>
        </w:tc>
        <w:tc>
          <w:tcPr>
            <w:tcW w:type="dxa" w:w="1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Dev</w:t>
            </w:r>
          </w:p>
        </w:tc>
        <w:tc>
          <w:tcPr>
            <w:tcW w:type="dxa" w:w="2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Hub launch</w:t>
            </w:r>
          </w:p>
        </w:tc>
      </w:tr>
    </w:tbl>
    <w:p>
      <w:pPr>
        <w:pStyle w:val="Heading1"/>
        <w:spacing w:after="160" w:before="360"/>
      </w:pPr>
      <w:r>
        <w:rPr>
          <w:rFonts w:ascii="Calibri" w:cs="Calibri" w:eastAsia="Calibri" w:hAnsi="Calibri"/>
          <w:b/>
          <w:bCs/>
          <w:color w:val="1B1B3A"/>
          <w:sz w:val="32"/>
          <w:szCs w:val="32"/>
        </w:rPr>
        <w:t xml:space="preserve">9. Do not publish</w:t>
      </w:r>
    </w:p>
    <w:p>
      <w:pPr>
        <w:spacing w:after="120" w:before="0"/>
      </w:pPr>
      <w:r>
        <w:rPr>
          <w:rFonts w:ascii="Calibri" w:cs="Calibri" w:eastAsia="Calibri" w:hAnsi="Calibri"/>
          <w:b/>
          <w:bCs/>
          <w:sz w:val="21"/>
          <w:szCs w:val="21"/>
        </w:rPr>
        <w:t xml:space="preserve">Each of these is unconfirmed, unsourced or belongs to someone else.</w:t>
      </w:r>
    </w:p>
    <w:p>
      <w:pPr>
        <w:spacing w:after="60"/>
      </w:pPr>
      <w:r>
        <w:rPr>
          <w:sz w:val="2"/>
          <w:szCs w:val="2"/>
        </w:rPr>
        <w:t xml:space="preserve"/>
      </w:r>
    </w:p>
    <w:p>
      <w:pPr>
        <w:pStyle w:val="ListParagraph"/>
        <w:numPr>
          <w:ilvl w:val="0"/>
          <w:numId w:val="2"/>
        </w:numPr>
        <w:spacing w:after="80"/>
      </w:pPr>
      <w:r>
        <w:rPr>
          <w:rFonts w:ascii="Calibri" w:cs="Calibri" w:eastAsia="Calibri" w:hAnsi="Calibri"/>
          <w:sz w:val="21"/>
          <w:szCs w:val="21"/>
        </w:rPr>
        <w:t xml:space="preserve">Any legacy technology not in the §3.10 table — .NET Framework, Oracle, mainframe, VB6/Access — or Microsoft Azure as a delivered target.</w:t>
      </w:r>
    </w:p>
    <w:p>
      <w:pPr>
        <w:pStyle w:val="ListParagraph"/>
        <w:numPr>
          <w:ilvl w:val="0"/>
          <w:numId w:val="2"/>
        </w:numPr>
        <w:spacing w:after="80"/>
      </w:pPr>
      <w:r>
        <w:rPr>
          <w:rFonts w:ascii="Calibri" w:cs="Calibri" w:eastAsia="Calibri" w:hAnsi="Calibri"/>
          <w:sz w:val="21"/>
          <w:szCs w:val="21"/>
        </w:rPr>
        <w:t xml:space="preserve">IBM i or AS/400 as the platform of the RPG case. Believed likely, not confirmed.</w:t>
      </w:r>
    </w:p>
    <w:p>
      <w:pPr>
        <w:pStyle w:val="ListParagraph"/>
        <w:numPr>
          <w:ilvl w:val="0"/>
          <w:numId w:val="2"/>
        </w:numPr>
        <w:spacing w:after="80"/>
      </w:pPr>
      <w:r>
        <w:rPr>
          <w:rFonts w:ascii="Calibri" w:cs="Calibri" w:eastAsia="Calibri" w:hAnsi="Calibri"/>
          <w:sz w:val="21"/>
          <w:szCs w:val="21"/>
        </w:rPr>
        <w:t xml:space="preserve">Any client name for the four case cards. Only Cloud Titans may be named, via its signed testimonial.</w:t>
      </w:r>
    </w:p>
    <w:p>
      <w:pPr>
        <w:pStyle w:val="ListParagraph"/>
        <w:numPr>
          <w:ilvl w:val="0"/>
          <w:numId w:val="2"/>
        </w:numPr>
        <w:spacing w:after="80"/>
      </w:pPr>
      <w:r>
        <w:rPr>
          <w:rFonts w:ascii="Calibri" w:cs="Calibri" w:eastAsia="Calibri" w:hAnsi="Calibri"/>
          <w:sz w:val="21"/>
          <w:szCs w:val="21"/>
        </w:rPr>
        <w:t xml:space="preserve">"Zero downtime", "no downtime", "uninterrupted performance". The approved phrase is "minimal operational disruption", for the RPG case only.</w:t>
      </w:r>
    </w:p>
    <w:p>
      <w:pPr>
        <w:pStyle w:val="ListParagraph"/>
        <w:numPr>
          <w:ilvl w:val="0"/>
          <w:numId w:val="2"/>
        </w:numPr>
        <w:spacing w:after="80"/>
      </w:pPr>
      <w:r>
        <w:rPr>
          <w:rFonts w:ascii="Calibri" w:cs="Calibri" w:eastAsia="Calibri" w:hAnsi="Calibri"/>
          <w:sz w:val="21"/>
          <w:szCs w:val="21"/>
        </w:rPr>
        <w:t xml:space="preserve">"Real-time" on the retailer case. The outcome was one source of truth for reporting, analytics, data science and AI — not real-time reporting.</w:t>
      </w:r>
    </w:p>
    <w:p>
      <w:pPr>
        <w:pStyle w:val="ListParagraph"/>
        <w:numPr>
          <w:ilvl w:val="0"/>
          <w:numId w:val="2"/>
        </w:numPr>
        <w:spacing w:after="80"/>
      </w:pPr>
      <w:r>
        <w:rPr>
          <w:rFonts w:ascii="Calibri" w:cs="Calibri" w:eastAsia="Calibri" w:hAnsi="Calibri"/>
          <w:sz w:val="21"/>
          <w:szCs w:val="21"/>
        </w:rPr>
        <w:t xml:space="preserve">The Java 19 version number. Java 19 is a short-term release that is no longer supported, so a technical buyer would question it. Use "a modern Java release".</w:t>
      </w:r>
    </w:p>
    <w:p>
      <w:pPr>
        <w:pStyle w:val="ListParagraph"/>
        <w:numPr>
          <w:ilvl w:val="0"/>
          <w:numId w:val="2"/>
        </w:numPr>
        <w:spacing w:after="80"/>
      </w:pPr>
      <w:r>
        <w:rPr>
          <w:rFonts w:ascii="Calibri" w:cs="Calibri" w:eastAsia="Calibri" w:hAnsi="Calibri"/>
          <w:sz w:val="21"/>
          <w:szCs w:val="21"/>
        </w:rPr>
        <w:t xml:space="preserve">The client names behind the case cards: SS&amp;C, Pick n Pay and IRD.</w:t>
      </w:r>
    </w:p>
    <w:p>
      <w:pPr>
        <w:pStyle w:val="ListParagraph"/>
        <w:numPr>
          <w:ilvl w:val="0"/>
          <w:numId w:val="2"/>
        </w:numPr>
        <w:spacing w:after="80"/>
      </w:pPr>
      <w:r>
        <w:rPr>
          <w:rFonts w:ascii="Calibri" w:cs="Calibri" w:eastAsia="Calibri" w:hAnsi="Calibri"/>
          <w:sz w:val="21"/>
          <w:szCs w:val="21"/>
        </w:rPr>
        <w:t xml:space="preserve">Any association with the World Health Organization on the immunization case. It is unconfirmed, and naming WHO would imply an endorsement xLoop cannot evidence.</w:t>
      </w:r>
    </w:p>
    <w:p>
      <w:pPr>
        <w:pStyle w:val="ListParagraph"/>
        <w:numPr>
          <w:ilvl w:val="0"/>
          <w:numId w:val="2"/>
        </w:numPr>
        <w:spacing w:after="80"/>
      </w:pPr>
      <w:r>
        <w:rPr>
          <w:rFonts w:ascii="Calibri" w:cs="Calibri" w:eastAsia="Calibri" w:hAnsi="Calibri"/>
          <w:sz w:val="21"/>
          <w:szCs w:val="21"/>
        </w:rPr>
        <w:t xml:space="preserve">"Real-time analytics" on the immunization case. It appears in older deck copy but is unverified, and the same wording proved wrong on the retailer case.</w:t>
      </w:r>
    </w:p>
    <w:p>
      <w:pPr>
        <w:pStyle w:val="ListParagraph"/>
        <w:numPr>
          <w:ilvl w:val="0"/>
          <w:numId w:val="2"/>
        </w:numPr>
        <w:spacing w:after="80"/>
      </w:pPr>
      <w:r>
        <w:rPr>
          <w:rFonts w:ascii="Calibri" w:cs="Calibri" w:eastAsia="Calibri" w:hAnsi="Calibri"/>
          <w:sz w:val="21"/>
          <w:szCs w:val="21"/>
        </w:rPr>
        <w:t xml:space="preserve">Any percentage or statistic, including the 30% utility figure in older case copy.</w:t>
      </w:r>
    </w:p>
    <w:p>
      <w:pPr>
        <w:pStyle w:val="ListParagraph"/>
        <w:numPr>
          <w:ilvl w:val="0"/>
          <w:numId w:val="2"/>
        </w:numPr>
        <w:spacing w:after="80"/>
      </w:pPr>
      <w:r>
        <w:rPr>
          <w:rFonts w:ascii="Calibri" w:cs="Calibri" w:eastAsia="Calibri" w:hAnsi="Calibri"/>
          <w:sz w:val="21"/>
          <w:szCs w:val="21"/>
        </w:rPr>
        <w:t xml:space="preserve">Pricing of any kind, including per-phase pricing.</w:t>
      </w:r>
    </w:p>
    <w:p>
      <w:pPr>
        <w:pStyle w:val="ListParagraph"/>
        <w:numPr>
          <w:ilvl w:val="0"/>
          <w:numId w:val="2"/>
        </w:numPr>
        <w:spacing w:after="80"/>
      </w:pPr>
      <w:r>
        <w:rPr>
          <w:rFonts w:ascii="Calibri" w:cs="Calibri" w:eastAsia="Calibri" w:hAnsi="Calibri"/>
          <w:sz w:val="21"/>
          <w:szCs w:val="21"/>
        </w:rPr>
        <w:t xml:space="preserve">"ISO 27001 certified" or "ISO 42001 certified". Only "certified ISO 27001 and ISO 42001 Lead Auditors".</w:t>
      </w:r>
    </w:p>
    <w:p>
      <w:pPr>
        <w:pStyle w:val="ListParagraph"/>
        <w:numPr>
          <w:ilvl w:val="0"/>
          <w:numId w:val="2"/>
        </w:numPr>
        <w:spacing w:after="80"/>
      </w:pPr>
      <w:r>
        <w:rPr>
          <w:rFonts w:ascii="Calibri" w:cs="Calibri" w:eastAsia="Calibri" w:hAnsi="Calibri"/>
          <w:sz w:val="21"/>
          <w:szCs w:val="21"/>
        </w:rPr>
        <w:t xml:space="preserve">Anthropic or Cursor logos, or any wording implying a partnership with either.</w:t>
      </w:r>
    </w:p>
    <w:p>
      <w:pPr>
        <w:pStyle w:val="ListParagraph"/>
        <w:numPr>
          <w:ilvl w:val="0"/>
          <w:numId w:val="2"/>
        </w:numPr>
        <w:spacing w:after="80"/>
      </w:pPr>
      <w:r>
        <w:rPr>
          <w:rFonts w:ascii="Calibri" w:cs="Calibri" w:eastAsia="Calibri" w:hAnsi="Calibri"/>
          <w:sz w:val="21"/>
          <w:szCs w:val="21"/>
        </w:rPr>
        <w:t xml:space="preserve">Microsoft Fabric, or any Microsoft Solutions Partner designation.</w:t>
      </w:r>
    </w:p>
    <w:p>
      <w:pPr>
        <w:pStyle w:val="ListParagraph"/>
        <w:numPr>
          <w:ilvl w:val="0"/>
          <w:numId w:val="2"/>
        </w:numPr>
        <w:spacing w:after="80"/>
      </w:pPr>
      <w:r>
        <w:rPr>
          <w:rFonts w:ascii="Calibri" w:cs="Calibri" w:eastAsia="Calibri" w:hAnsi="Calibri"/>
          <w:sz w:val="21"/>
          <w:szCs w:val="21"/>
        </w:rPr>
        <w:t xml:space="preserve">Founding year, headcount, country count, or years of experience.</w:t>
      </w:r>
    </w:p>
    <w:p>
      <w:pPr>
        <w:spacing w:after="160"/>
      </w:pPr>
      <w:r>
        <w:rPr>
          <w:sz w:val="2"/>
          <w:szCs w:val="2"/>
        </w:rPr>
        <w:t xml:space="preserve"/>
      </w:r>
    </w:p>
    <w:p>
      <w:pPr>
        <w:spacing w:after="160" w:before="80"/>
      </w:pPr>
      <w:r>
        <w:rPr>
          <w:rFonts w:ascii="Calibri" w:cs="Calibri" w:eastAsia="Calibri" w:hAnsi="Calibri"/>
          <w:b/>
          <w:bCs/>
          <w:color w:val="5A5A6E"/>
          <w:sz w:val="19"/>
          <w:szCs w:val="19"/>
        </w:rPr>
        <w:t xml:space="preserve">The test. </w:t>
      </w:r>
      <w:r>
        <w:rPr>
          <w:rFonts w:ascii="Calibri" w:cs="Calibri" w:eastAsia="Calibri" w:hAnsi="Calibri"/>
          <w:i/>
          <w:iCs/>
          <w:color w:val="5A5A6E"/>
          <w:sz w:val="19"/>
          <w:szCs w:val="19"/>
        </w:rPr>
        <w:t xml:space="preserve">If a client’s compliance officer, a regulator or a journalist asked for the evidence behind any sentence on this page, could xLoop produce it within an hour? If not, it does not go on the page.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abstractNum w:abstractNumId="3" w15:restartNumberingAfterBreak="0">
    <w:multiLevelType w:val="hybridMultilevel"/>
    <w:lvl w:ilvl="0" w15:tentative="1">
      <w:start w:val="1"/>
      <w:numFmt w:val="decimal"/>
      <w:lvlText w:val="%1."/>
      <w:lvlJc w:val="left"/>
      <w:pPr>
        <w:ind w:lef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Legacy System Modernization Page — Content Specification</dc:title>
  <dc:creator>xLoop Marketing</dc:creator>
  <dc:description>Content specification for design and development</dc:description>
  <cp:lastModifiedBy>Un-named</cp:lastModifiedBy>
  <cp:revision>1</cp:revision>
  <dcterms:created xsi:type="dcterms:W3CDTF">2026-09-17T08:27:28.510Z</dcterms:created>
  <dcterms:modified xsi:type="dcterms:W3CDTF">2026-09-17T08:27:28.511Z</dcterms:modified>
</cp:coreProperties>
</file>

<file path=docProps/custom.xml><?xml version="1.0" encoding="utf-8"?>
<Properties xmlns="http://schemas.openxmlformats.org/officeDocument/2006/custom-properties" xmlns:vt="http://schemas.openxmlformats.org/officeDocument/2006/docPropsVTypes"/>
</file>