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 — 17 September 2026</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Mainframe, COBOL, .NET Framework, Java EE, Oracle or VB6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mainframe and COBOL buyers xLoop cannot serve. The page names that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(v2.1)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in phases, not with a big-bang rebuild. Assessment, migration and re-architecture that make core systems ready for data and AI.</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Without the Big-Bang Rebuild</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Without the Big-Bang Rebuild</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We modernize the systems your business still runs on — in phases, with the old system running until the new one has proven itself — so they can be maintained, integrated, secured and reached by data and AI again.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Your data team works from exports because there’s no reliable feed or API.</w:t>
            </w:r>
          </w:p>
          <w:p>
            <w:pPr>
              <w:spacing w:after="60"/>
            </w:pPr>
            <w:r>
              <w:rPr>
                <w:rFonts w:ascii="Calibri" w:cs="Calibri" w:eastAsia="Calibri" w:hAnsi="Calibri"/>
                <w:sz w:val="21"/>
                <w:szCs w:val="21"/>
              </w:rPr>
              <w:t xml:space="preserve">• The platform, language or hardware is out of vendor support — or will be soon.</w:t>
            </w:r>
          </w:p>
          <w:p>
            <w:pPr>
              <w:spacing w:after="60"/>
            </w:pPr>
            <w:r>
              <w:rPr>
                <w:rFonts w:ascii="Calibri" w:cs="Calibri" w:eastAsia="Calibri" w:hAnsi="Calibri"/>
                <w:sz w:val="21"/>
                <w:szCs w:val="21"/>
              </w:rPr>
              <w:t xml:space="preserve">• Security patches can’t be applied without breaking something else.</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The option most vendors won’t mention: if a system is sound but simply hard to reach, wrap it in an API layer. New applications and AI can use it immediately, and you migrate behind that layer at your own pace — or never.</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no big-bang cutover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The conversion is the easier half.</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applications to private cloud</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On-premise legacy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the RPG applications and their data to a private cloud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extracts and fragmented databases to a Snowflake lakehouse</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pulled manually from SAP and disparate databases, delaying and undermining Power BI reporting</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 Snowflake medallion lakehouse on AWS and optimized end-to-end pipelines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Real-time Power BI dashboards from a single source of truth</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pipelines for a utility</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processing across PySpark, SQL and stored procedures</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Root-cause analysis and performance tuning across the pipeline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Reliable, curated datasets for operational monitoring</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 · core application modernization and SIEM migration</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RPG client, the ecommerce brand and the utility are all anonymized); any percentage; "zero downtime", "no downtime" or "uninterrupted performance"; the IBM i / AS/400 platform name. None of these are confirmed.</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extracts and fragmented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Snowflake medallion lakehouse on AWS</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Performance-tuned, reliable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Java EE, Oracle, COBOL, mainframe, VB6/Access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CTOs and heads of data or platform engineering at mid-to-large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or COBOL conversion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Thirteen questions. Each answer opens with the answer, then explains. All thirteen go into FAQPage schema with text identical to the page.</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 but not a weekend of hoping. It’s how we migrated legacy RPG applications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Seven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We don’t start a migration without discovery first. If you need a system moved by Friday with no questions asked, we’re probably not the right firm.</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Add supporting articles from §5 here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role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Seven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PHP application on a single server, RPG,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 / CTO · Head of Data · Head of Engineering or Platform · Business owner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Forcing the decision = "AI or analytics initiative blocked"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 or COBOL</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Polite not-a-fit reply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Supporting content cluster</w:t>
      </w:r>
    </w:p>
    <w:p>
      <w:pPr>
        <w:spacing w:after="120" w:before="0"/>
      </w:pPr>
      <w:r>
        <w:rPr>
          <w:rFonts w:ascii="Calibri" w:cs="Calibri" w:eastAsia="Calibri" w:hAnsi="Calibri"/>
          <w:sz w:val="21"/>
          <w:szCs w:val="21"/>
        </w:rPr>
        <w:t xml:space="preserve">These articles keep the page fed with search and AI traffic after launch. Each links to this page with the anchor text given; this page links back from its Resources block.</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4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Captures</w:t>
            </w:r>
          </w:p>
        </w:tc>
        <w:tc>
          <w:tcPr>
            <w:tcW w:type="dxa" w:w="24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Evaluation-stage searches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Risk-averse CTOs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AI Can — and Can’t — Do in Legacy Code Modernization</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AI-curious buyers; highly citable</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in legacy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Six Signs a Legacy System Is Blocking Your AI Roadmap</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sponsors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Links the existing "why AI projects stall" post, which ranks first with no clicks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From SAP Extracts to a Lakehouse: Modernizing Legacy Data for Analytics and AI</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uses approved Snowflake proof</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Owned angle no competitor covers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r>
    </w:tbl>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mainframe · COBOL · core banking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13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and FAQ Q3, Q7, Q10, Q11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Java EE, Oracle, COBOL,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2026-09-17T06:09:55.029Z</dcterms:created>
  <dcterms:modified xsi:type="dcterms:W3CDTF">2026-09-17T06:09:55.030Z</dcterms:modified>
</cp:coreProperties>
</file>

<file path=docProps/custom.xml><?xml version="1.0" encoding="utf-8"?>
<Properties xmlns="http://schemas.openxmlformats.org/officeDocument/2006/custom-properties" xmlns:vt="http://schemas.openxmlformats.org/officeDocument/2006/docPropsVTypes"/>
</file>