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B3630" w:rsidRDefault="008761EB">
      <w:pPr>
        <w:spacing w:after="60"/>
      </w:pPr>
      <w:proofErr w:type="spellStart"/>
      <w:r>
        <w:rPr>
          <w:b/>
          <w:bCs/>
          <w:color w:val="1E5BFF"/>
          <w:sz w:val="20"/>
          <w:szCs w:val="20"/>
        </w:rPr>
        <w:t>xLoop</w:t>
      </w:r>
      <w:proofErr w:type="spellEnd"/>
      <w:r>
        <w:rPr>
          <w:b/>
          <w:bCs/>
          <w:color w:val="1E5BFF"/>
          <w:sz w:val="20"/>
          <w:szCs w:val="20"/>
        </w:rPr>
        <w:t xml:space="preserve"> </w:t>
      </w:r>
      <w:proofErr w:type="gramStart"/>
      <w:r>
        <w:rPr>
          <w:b/>
          <w:bCs/>
          <w:color w:val="1E5BFF"/>
          <w:sz w:val="20"/>
          <w:szCs w:val="20"/>
        </w:rPr>
        <w:t>Digital  ·</w:t>
      </w:r>
      <w:proofErr w:type="gramEnd"/>
      <w:r>
        <w:rPr>
          <w:b/>
          <w:bCs/>
          <w:color w:val="1E5BFF"/>
          <w:sz w:val="20"/>
          <w:szCs w:val="20"/>
        </w:rPr>
        <w:t xml:space="preserve">  </w:t>
      </w:r>
      <w:proofErr w:type="spellStart"/>
      <w:r>
        <w:rPr>
          <w:b/>
          <w:bCs/>
          <w:color w:val="1E5BFF"/>
          <w:sz w:val="20"/>
          <w:szCs w:val="20"/>
        </w:rPr>
        <w:t>xSecurity</w:t>
      </w:r>
      <w:proofErr w:type="spellEnd"/>
    </w:p>
    <w:p w:rsidR="00CB3630" w:rsidRDefault="008761EB">
      <w:pPr>
        <w:pStyle w:val="Title"/>
      </w:pPr>
      <w:proofErr w:type="spellStart"/>
      <w:r>
        <w:t>xSecurity</w:t>
      </w:r>
      <w:proofErr w:type="spellEnd"/>
      <w:r>
        <w:t xml:space="preserve"> Navigation + NEPRA / OT Security Brief</w:t>
      </w:r>
    </w:p>
    <w:p w:rsidR="00CB3630" w:rsidRDefault="008761EB">
      <w:pPr>
        <w:pStyle w:val="Heading1"/>
      </w:pPr>
      <w:r>
        <w:t>1. Mega menu item</w:t>
      </w:r>
    </w:p>
    <w:p w:rsidR="00CB3630" w:rsidRDefault="008761EB">
      <w:pPr>
        <w:spacing w:after="120"/>
      </w:pPr>
      <w:r>
        <w:rPr>
          <w:b/>
          <w:bCs/>
        </w:rPr>
        <w:t>Where:</w:t>
      </w:r>
      <w:r>
        <w:t xml:space="preserve"> </w:t>
      </w:r>
      <w:proofErr w:type="spellStart"/>
      <w:r>
        <w:t>xSecurity</w:t>
      </w:r>
      <w:proofErr w:type="spellEnd"/>
      <w:r>
        <w:t xml:space="preserve"> mega menu, "Comprehensive Digital Protection" column, </w:t>
      </w:r>
      <w:r>
        <w:rPr>
          <w:b/>
          <w:bCs/>
        </w:rPr>
        <w:t>3rd item</w:t>
      </w:r>
      <w:r>
        <w:t xml:space="preserve"> after AI Security Services. Use the same component as the </w:t>
      </w:r>
      <w:r>
        <w:t>two items already there (icon + heading + one-line description).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CB3630">
        <w:tblPrEx>
          <w:tblCellMar>
            <w:top w:w="0" w:type="dxa"/>
            <w:bottom w:w="0" w:type="dxa"/>
          </w:tblCellMar>
        </w:tblPrEx>
        <w:trPr>
          <w:cantSplit/>
          <w:tblHeader/>
        </w:trPr>
        <w:tc>
          <w:tcPr>
            <w:tcW w:w="2600" w:type="dxa"/>
            <w:tcBorders>
              <w:top w:val="single" w:sz="4" w:space="0" w:color="C9D2E0"/>
              <w:left w:val="single" w:sz="4" w:space="0" w:color="C9D2E0"/>
              <w:bottom w:val="single" w:sz="4" w:space="0" w:color="C9D2E0"/>
              <w:right w:val="single" w:sz="4" w:space="0" w:color="C9D2E0"/>
            </w:tcBorders>
            <w:shd w:val="clear" w:color="auto" w:fill="0B1F3A"/>
            <w:tcMar>
              <w:top w:w="80" w:type="dxa"/>
              <w:left w:w="120" w:type="dxa"/>
              <w:bottom w:w="80" w:type="dxa"/>
              <w:right w:w="120" w:type="dxa"/>
            </w:tcMar>
          </w:tcPr>
          <w:p w:rsidR="00CB3630" w:rsidRDefault="008761EB">
            <w:r>
              <w:rPr>
                <w:b/>
                <w:bCs/>
                <w:color w:val="FFFFFF"/>
              </w:rPr>
              <w:t>Field</w:t>
            </w:r>
          </w:p>
        </w:tc>
        <w:tc>
          <w:tcPr>
            <w:tcW w:w="6426" w:type="dxa"/>
            <w:tcBorders>
              <w:top w:val="single" w:sz="4" w:space="0" w:color="C9D2E0"/>
              <w:left w:val="single" w:sz="4" w:space="0" w:color="C9D2E0"/>
              <w:bottom w:val="single" w:sz="4" w:space="0" w:color="C9D2E0"/>
              <w:right w:val="single" w:sz="4" w:space="0" w:color="C9D2E0"/>
            </w:tcBorders>
            <w:shd w:val="clear" w:color="auto" w:fill="0B1F3A"/>
            <w:tcMar>
              <w:top w:w="80" w:type="dxa"/>
              <w:left w:w="120" w:type="dxa"/>
              <w:bottom w:w="80" w:type="dxa"/>
              <w:right w:w="120" w:type="dxa"/>
            </w:tcMar>
          </w:tcPr>
          <w:p w:rsidR="00CB3630" w:rsidRDefault="008761EB">
            <w:r>
              <w:rPr>
                <w:b/>
                <w:bCs/>
                <w:color w:val="FFFFFF"/>
              </w:rPr>
              <w:t>Content</w:t>
            </w:r>
          </w:p>
        </w:tc>
      </w:tr>
      <w:tr w:rsidR="00CB3630">
        <w:tblPrEx>
          <w:tblCellMar>
            <w:top w:w="0" w:type="dxa"/>
            <w:bottom w:w="0" w:type="dxa"/>
          </w:tblCellMar>
        </w:tblPrEx>
        <w:trPr>
          <w:cantSplit/>
        </w:trPr>
        <w:tc>
          <w:tcPr>
            <w:tcW w:w="2600" w:type="dxa"/>
            <w:tcBorders>
              <w:top w:val="single" w:sz="4" w:space="0" w:color="C9D2E0"/>
              <w:left w:val="single" w:sz="4" w:space="0" w:color="C9D2E0"/>
              <w:bottom w:val="single" w:sz="4" w:space="0" w:color="C9D2E0"/>
              <w:right w:val="single" w:sz="4" w:space="0" w:color="C9D2E0"/>
            </w:tcBorders>
            <w:tcMar>
              <w:top w:w="80" w:type="dxa"/>
              <w:left w:w="120" w:type="dxa"/>
              <w:bottom w:w="80" w:type="dxa"/>
              <w:right w:w="120" w:type="dxa"/>
            </w:tcMar>
          </w:tcPr>
          <w:p w:rsidR="00CB3630" w:rsidRDefault="008761EB">
            <w:r>
              <w:t>Heading</w:t>
            </w:r>
          </w:p>
        </w:tc>
        <w:tc>
          <w:tcPr>
            <w:tcW w:w="6426" w:type="dxa"/>
            <w:tcBorders>
              <w:top w:val="single" w:sz="4" w:space="0" w:color="C9D2E0"/>
              <w:left w:val="single" w:sz="4" w:space="0" w:color="C9D2E0"/>
              <w:bottom w:val="single" w:sz="4" w:space="0" w:color="C9D2E0"/>
              <w:right w:val="single" w:sz="4" w:space="0" w:color="C9D2E0"/>
            </w:tcBorders>
            <w:tcMar>
              <w:top w:w="80" w:type="dxa"/>
              <w:left w:w="120" w:type="dxa"/>
              <w:bottom w:w="80" w:type="dxa"/>
              <w:right w:w="120" w:type="dxa"/>
            </w:tcMar>
          </w:tcPr>
          <w:p w:rsidR="00CB3630" w:rsidRDefault="008761EB">
            <w:r>
              <w:rPr>
                <w:b/>
                <w:bCs/>
              </w:rPr>
              <w:t>NEPRA IT/OT Compliance</w:t>
            </w:r>
          </w:p>
        </w:tc>
      </w:tr>
      <w:tr w:rsidR="00CB3630">
        <w:tblPrEx>
          <w:tblCellMar>
            <w:top w:w="0" w:type="dxa"/>
            <w:bottom w:w="0" w:type="dxa"/>
          </w:tblCellMar>
        </w:tblPrEx>
        <w:trPr>
          <w:cantSplit/>
        </w:trPr>
        <w:tc>
          <w:tcPr>
            <w:tcW w:w="2600" w:type="dxa"/>
            <w:tcBorders>
              <w:top w:val="single" w:sz="4" w:space="0" w:color="C9D2E0"/>
              <w:left w:val="single" w:sz="4" w:space="0" w:color="C9D2E0"/>
              <w:bottom w:val="single" w:sz="4" w:space="0" w:color="C9D2E0"/>
              <w:right w:val="single" w:sz="4" w:space="0" w:color="C9D2E0"/>
            </w:tcBorders>
            <w:tcMar>
              <w:top w:w="80" w:type="dxa"/>
              <w:left w:w="120" w:type="dxa"/>
              <w:bottom w:w="80" w:type="dxa"/>
              <w:right w:w="120" w:type="dxa"/>
            </w:tcMar>
          </w:tcPr>
          <w:p w:rsidR="00CB3630" w:rsidRDefault="00BC648E">
            <w:r>
              <w:t>Description</w:t>
            </w:r>
          </w:p>
        </w:tc>
        <w:tc>
          <w:tcPr>
            <w:tcW w:w="6426" w:type="dxa"/>
            <w:tcBorders>
              <w:top w:val="single" w:sz="4" w:space="0" w:color="C9D2E0"/>
              <w:left w:val="single" w:sz="4" w:space="0" w:color="C9D2E0"/>
              <w:bottom w:val="single" w:sz="4" w:space="0" w:color="C9D2E0"/>
              <w:right w:val="single" w:sz="4" w:space="0" w:color="C9D2E0"/>
            </w:tcBorders>
            <w:tcMar>
              <w:top w:w="80" w:type="dxa"/>
              <w:left w:w="120" w:type="dxa"/>
              <w:bottom w:w="80" w:type="dxa"/>
              <w:right w:w="120" w:type="dxa"/>
            </w:tcMar>
          </w:tcPr>
          <w:p w:rsidR="00CB3630" w:rsidRDefault="008761EB">
            <w:r>
              <w:t>IT/OT security compliance for Pakistan's power sector</w:t>
            </w:r>
          </w:p>
        </w:tc>
      </w:tr>
      <w:tr w:rsidR="00CB3630">
        <w:tblPrEx>
          <w:tblCellMar>
            <w:top w:w="0" w:type="dxa"/>
            <w:bottom w:w="0" w:type="dxa"/>
          </w:tblCellMar>
        </w:tblPrEx>
        <w:trPr>
          <w:cantSplit/>
        </w:trPr>
        <w:tc>
          <w:tcPr>
            <w:tcW w:w="2600" w:type="dxa"/>
            <w:tcBorders>
              <w:top w:val="single" w:sz="4" w:space="0" w:color="C9D2E0"/>
              <w:left w:val="single" w:sz="4" w:space="0" w:color="C9D2E0"/>
              <w:bottom w:val="single" w:sz="4" w:space="0" w:color="C9D2E0"/>
              <w:right w:val="single" w:sz="4" w:space="0" w:color="C9D2E0"/>
            </w:tcBorders>
            <w:tcMar>
              <w:top w:w="80" w:type="dxa"/>
              <w:left w:w="120" w:type="dxa"/>
              <w:bottom w:w="80" w:type="dxa"/>
              <w:right w:w="120" w:type="dxa"/>
            </w:tcMar>
          </w:tcPr>
          <w:p w:rsidR="00CB3630" w:rsidRDefault="008761EB">
            <w:r>
              <w:t>Link</w:t>
            </w:r>
          </w:p>
        </w:tc>
        <w:tc>
          <w:tcPr>
            <w:tcW w:w="6426" w:type="dxa"/>
            <w:tcBorders>
              <w:top w:val="single" w:sz="4" w:space="0" w:color="C9D2E0"/>
              <w:left w:val="single" w:sz="4" w:space="0" w:color="C9D2E0"/>
              <w:bottom w:val="single" w:sz="4" w:space="0" w:color="C9D2E0"/>
              <w:right w:val="single" w:sz="4" w:space="0" w:color="C9D2E0"/>
            </w:tcBorders>
            <w:tcMar>
              <w:top w:w="80" w:type="dxa"/>
              <w:left w:w="120" w:type="dxa"/>
              <w:bottom w:w="80" w:type="dxa"/>
              <w:right w:w="120" w:type="dxa"/>
            </w:tcMar>
          </w:tcPr>
          <w:p w:rsidR="00CB3630" w:rsidRDefault="008761EB">
            <w:r>
              <w:rPr>
                <w:rFonts w:ascii="Consolas" w:eastAsia="Consolas" w:hAnsi="Consolas" w:cs="Consolas"/>
                <w:color w:val="0B1F3A"/>
                <w:sz w:val="19"/>
                <w:szCs w:val="19"/>
              </w:rPr>
              <w:t>/services/</w:t>
            </w:r>
            <w:proofErr w:type="spellStart"/>
            <w:r>
              <w:rPr>
                <w:rFonts w:ascii="Consolas" w:eastAsia="Consolas" w:hAnsi="Consolas" w:cs="Consolas"/>
                <w:color w:val="0B1F3A"/>
                <w:sz w:val="19"/>
                <w:szCs w:val="19"/>
              </w:rPr>
              <w:t>nepra</w:t>
            </w:r>
            <w:proofErr w:type="spellEnd"/>
          </w:p>
        </w:tc>
      </w:tr>
      <w:tr w:rsidR="00CB3630">
        <w:tblPrEx>
          <w:tblCellMar>
            <w:top w:w="0" w:type="dxa"/>
            <w:bottom w:w="0" w:type="dxa"/>
          </w:tblCellMar>
        </w:tblPrEx>
        <w:trPr>
          <w:cantSplit/>
        </w:trPr>
        <w:tc>
          <w:tcPr>
            <w:tcW w:w="2600" w:type="dxa"/>
            <w:tcBorders>
              <w:top w:val="single" w:sz="4" w:space="0" w:color="C9D2E0"/>
              <w:left w:val="single" w:sz="4" w:space="0" w:color="C9D2E0"/>
              <w:bottom w:val="single" w:sz="4" w:space="0" w:color="C9D2E0"/>
              <w:right w:val="single" w:sz="4" w:space="0" w:color="C9D2E0"/>
            </w:tcBorders>
            <w:tcMar>
              <w:top w:w="80" w:type="dxa"/>
              <w:left w:w="120" w:type="dxa"/>
              <w:bottom w:w="80" w:type="dxa"/>
              <w:right w:w="120" w:type="dxa"/>
            </w:tcMar>
          </w:tcPr>
          <w:p w:rsidR="00CB3630" w:rsidRDefault="008761EB">
            <w:r>
              <w:t>Link title / aria-label</w:t>
            </w:r>
          </w:p>
        </w:tc>
        <w:tc>
          <w:tcPr>
            <w:tcW w:w="6426" w:type="dxa"/>
            <w:tcBorders>
              <w:top w:val="single" w:sz="4" w:space="0" w:color="C9D2E0"/>
              <w:left w:val="single" w:sz="4" w:space="0" w:color="C9D2E0"/>
              <w:bottom w:val="single" w:sz="4" w:space="0" w:color="C9D2E0"/>
              <w:right w:val="single" w:sz="4" w:space="0" w:color="C9D2E0"/>
            </w:tcBorders>
            <w:tcMar>
              <w:top w:w="80" w:type="dxa"/>
              <w:left w:w="120" w:type="dxa"/>
              <w:bottom w:w="80" w:type="dxa"/>
              <w:right w:w="120" w:type="dxa"/>
            </w:tcMar>
          </w:tcPr>
          <w:p w:rsidR="00CB3630" w:rsidRDefault="008761EB">
            <w:r>
              <w:t>NEPRA IT/OT compliance services for Pakistan's power sector</w:t>
            </w:r>
          </w:p>
        </w:tc>
      </w:tr>
      <w:tr w:rsidR="00CB3630">
        <w:tblPrEx>
          <w:tblCellMar>
            <w:top w:w="0" w:type="dxa"/>
            <w:bottom w:w="0" w:type="dxa"/>
          </w:tblCellMar>
        </w:tblPrEx>
        <w:trPr>
          <w:cantSplit/>
        </w:trPr>
        <w:tc>
          <w:tcPr>
            <w:tcW w:w="2600" w:type="dxa"/>
            <w:tcBorders>
              <w:top w:val="single" w:sz="4" w:space="0" w:color="C9D2E0"/>
              <w:left w:val="single" w:sz="4" w:space="0" w:color="C9D2E0"/>
              <w:bottom w:val="single" w:sz="4" w:space="0" w:color="C9D2E0"/>
              <w:right w:val="single" w:sz="4" w:space="0" w:color="C9D2E0"/>
            </w:tcBorders>
            <w:tcMar>
              <w:top w:w="80" w:type="dxa"/>
              <w:left w:w="120" w:type="dxa"/>
              <w:bottom w:w="80" w:type="dxa"/>
              <w:right w:w="120" w:type="dxa"/>
            </w:tcMar>
          </w:tcPr>
          <w:p w:rsidR="00CB3630" w:rsidRDefault="008761EB">
            <w:r>
              <w:t>Icon</w:t>
            </w:r>
          </w:p>
        </w:tc>
        <w:tc>
          <w:tcPr>
            <w:tcW w:w="6426" w:type="dxa"/>
            <w:tcBorders>
              <w:top w:val="single" w:sz="4" w:space="0" w:color="C9D2E0"/>
              <w:left w:val="single" w:sz="4" w:space="0" w:color="C9D2E0"/>
              <w:bottom w:val="single" w:sz="4" w:space="0" w:color="C9D2E0"/>
              <w:right w:val="single" w:sz="4" w:space="0" w:color="C9D2E0"/>
            </w:tcBorders>
            <w:tcMar>
              <w:top w:w="80" w:type="dxa"/>
              <w:left w:w="120" w:type="dxa"/>
              <w:bottom w:w="80" w:type="dxa"/>
              <w:right w:w="120" w:type="dxa"/>
            </w:tcMar>
          </w:tcPr>
          <w:p w:rsidR="00CB3630" w:rsidRDefault="008761EB">
            <w:r>
              <w:t xml:space="preserve">Same shield style as the other two items. </w:t>
            </w:r>
            <w:r w:rsidR="00BC648E">
              <w:t>S</w:t>
            </w:r>
            <w:r>
              <w:t>hield with a lightning bolt (power s</w:t>
            </w:r>
            <w:r>
              <w:t>ector)</w:t>
            </w:r>
          </w:p>
        </w:tc>
      </w:tr>
      <w:tr w:rsidR="00CB3630">
        <w:tblPrEx>
          <w:tblCellMar>
            <w:top w:w="0" w:type="dxa"/>
            <w:bottom w:w="0" w:type="dxa"/>
          </w:tblCellMar>
        </w:tblPrEx>
        <w:trPr>
          <w:cantSplit/>
        </w:trPr>
        <w:tc>
          <w:tcPr>
            <w:tcW w:w="2600" w:type="dxa"/>
            <w:tcBorders>
              <w:top w:val="single" w:sz="4" w:space="0" w:color="C9D2E0"/>
              <w:left w:val="single" w:sz="4" w:space="0" w:color="C9D2E0"/>
              <w:bottom w:val="single" w:sz="4" w:space="0" w:color="C9D2E0"/>
              <w:right w:val="single" w:sz="4" w:space="0" w:color="C9D2E0"/>
            </w:tcBorders>
            <w:tcMar>
              <w:top w:w="80" w:type="dxa"/>
              <w:left w:w="120" w:type="dxa"/>
              <w:bottom w:w="80" w:type="dxa"/>
              <w:right w:w="120" w:type="dxa"/>
            </w:tcMar>
          </w:tcPr>
          <w:p w:rsidR="00CB3630" w:rsidRDefault="008761EB">
            <w:r>
              <w:t>Mobile menu</w:t>
            </w:r>
          </w:p>
        </w:tc>
        <w:tc>
          <w:tcPr>
            <w:tcW w:w="6426" w:type="dxa"/>
            <w:tcBorders>
              <w:top w:val="single" w:sz="4" w:space="0" w:color="C9D2E0"/>
              <w:left w:val="single" w:sz="4" w:space="0" w:color="C9D2E0"/>
              <w:bottom w:val="single" w:sz="4" w:space="0" w:color="C9D2E0"/>
              <w:right w:val="single" w:sz="4" w:space="0" w:color="C9D2E0"/>
            </w:tcBorders>
            <w:tcMar>
              <w:top w:w="80" w:type="dxa"/>
              <w:left w:w="120" w:type="dxa"/>
              <w:bottom w:w="80" w:type="dxa"/>
              <w:right w:w="120" w:type="dxa"/>
            </w:tcMar>
          </w:tcPr>
          <w:p w:rsidR="00CB3630" w:rsidRDefault="008761EB">
            <w:r>
              <w:t xml:space="preserve">Same item, same order, under </w:t>
            </w:r>
            <w:proofErr w:type="spellStart"/>
            <w:r>
              <w:t>xSecurity</w:t>
            </w:r>
            <w:proofErr w:type="spellEnd"/>
          </w:p>
        </w:tc>
      </w:tr>
    </w:tbl>
    <w:p w:rsidR="00CB3630" w:rsidRDefault="008761EB">
      <w:pPr>
        <w:keepNext/>
        <w:spacing w:before="200" w:after="40"/>
      </w:pPr>
      <w:r>
        <w:rPr>
          <w:b/>
          <w:bCs/>
          <w:color w:val="1E5BFF"/>
          <w:spacing w:val="20"/>
          <w:sz w:val="17"/>
          <w:szCs w:val="17"/>
        </w:rPr>
        <w:t>DESIGN NOTES</w:t>
      </w:r>
    </w:p>
    <w:p w:rsidR="00CB3630" w:rsidRDefault="008761EB">
      <w:pPr>
        <w:pStyle w:val="ListParagraph"/>
        <w:numPr>
          <w:ilvl w:val="0"/>
          <w:numId w:val="2"/>
        </w:numPr>
        <w:spacing w:after="80"/>
      </w:pPr>
      <w:r>
        <w:t>The two existing descriptions run 10–11 words. A 7-word line will be shorter, which is fine. Don't pad it.</w:t>
      </w:r>
    </w:p>
    <w:p w:rsidR="00CB3630" w:rsidRDefault="008761EB">
      <w:pPr>
        <w:pStyle w:val="ListParagraph"/>
        <w:numPr>
          <w:ilvl w:val="0"/>
          <w:numId w:val="2"/>
        </w:numPr>
        <w:spacing w:after="80"/>
      </w:pPr>
      <w:r>
        <w:t>Leave the right-hand promo cards as they are ("Book an AI Security Consultation", "AI Governance…"). The AI Security featured offer stays.</w:t>
      </w:r>
    </w:p>
    <w:p w:rsidR="00CB3630" w:rsidRDefault="008761EB">
      <w:pPr>
        <w:pStyle w:val="ListParagraph"/>
        <w:numPr>
          <w:ilvl w:val="0"/>
          <w:numId w:val="2"/>
        </w:numPr>
        <w:spacing w:after="80"/>
      </w:pPr>
      <w:r>
        <w:t xml:space="preserve">Rename the nav heading </w:t>
      </w:r>
      <w:r>
        <w:rPr>
          <w:b/>
          <w:bCs/>
        </w:rPr>
        <w:t>"Cyber Security Services" → "Cybersecurity Services"</w:t>
      </w:r>
      <w:r>
        <w:t xml:space="preserve"> to match the page. Two spellings split th</w:t>
      </w:r>
      <w:r>
        <w:t>e entity for search and AI engines. Keep the URL as it is.</w:t>
      </w:r>
    </w:p>
    <w:p w:rsidR="00CB3630" w:rsidRDefault="008761EB">
      <w:pPr>
        <w:keepNext/>
        <w:spacing w:before="200" w:after="40"/>
      </w:pPr>
      <w:r>
        <w:rPr>
          <w:b/>
          <w:bCs/>
          <w:color w:val="1E5BFF"/>
          <w:spacing w:val="20"/>
          <w:sz w:val="17"/>
          <w:szCs w:val="17"/>
        </w:rPr>
        <w:t>DEV NOTE</w:t>
      </w:r>
    </w:p>
    <w:p w:rsidR="00CB3630" w:rsidRDefault="008761EB">
      <w:pPr>
        <w:spacing w:after="120"/>
      </w:pPr>
      <w:r>
        <w:t xml:space="preserve">The </w:t>
      </w:r>
      <w:proofErr w:type="spellStart"/>
      <w:r>
        <w:rPr>
          <w:b/>
          <w:bCs/>
        </w:rPr>
        <w:t>xSecurity</w:t>
      </w:r>
      <w:proofErr w:type="spellEnd"/>
      <w:r>
        <w:t xml:space="preserve"> top-level label currently links to </w:t>
      </w:r>
      <w:r>
        <w:rPr>
          <w:rFonts w:ascii="Consolas" w:eastAsia="Consolas" w:hAnsi="Consolas" w:cs="Consolas"/>
          <w:color w:val="0B1F3A"/>
          <w:sz w:val="19"/>
          <w:szCs w:val="19"/>
        </w:rPr>
        <w:t>/services/ai-security-service</w:t>
      </w:r>
      <w:r>
        <w:t xml:space="preserve">. Either make it a menu trigger only, or point it at the Cybersecurity page. Right </w:t>
      </w:r>
      <w:proofErr w:type="gramStart"/>
      <w:r>
        <w:t>now</w:t>
      </w:r>
      <w:proofErr w:type="gramEnd"/>
      <w:r>
        <w:t xml:space="preserve"> the security hub's own </w:t>
      </w:r>
      <w:r>
        <w:t>link goes to its narrowest page.</w:t>
      </w:r>
    </w:p>
    <w:p w:rsidR="00CB3630" w:rsidRDefault="008761EB">
      <w:pPr>
        <w:pStyle w:val="Heading1"/>
      </w:pPr>
      <w:r>
        <w:t>2. Recommendation: architecture</w:t>
      </w:r>
    </w:p>
    <w:p w:rsidR="00CB3630" w:rsidRDefault="008761EB">
      <w:pPr>
        <w:spacing w:after="120"/>
      </w:pPr>
      <w:r>
        <w:rPr>
          <w:b/>
          <w:bCs/>
        </w:rPr>
        <w:t xml:space="preserve">Yes, link it. NEPRA becomes the third </w:t>
      </w:r>
      <w:proofErr w:type="spellStart"/>
      <w:r>
        <w:rPr>
          <w:b/>
          <w:bCs/>
        </w:rPr>
        <w:t>xSecurity</w:t>
      </w:r>
      <w:proofErr w:type="spellEnd"/>
      <w:r>
        <w:rPr>
          <w:b/>
          <w:bCs/>
        </w:rPr>
        <w:t xml:space="preserve"> service, as a sibling.</w:t>
      </w:r>
      <w:r>
        <w:t xml:space="preserve"> Don't build a standalone OT Security page yet.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3326"/>
        <w:gridCol w:w="2800"/>
      </w:tblGrid>
      <w:tr w:rsidR="00CB3630">
        <w:tblPrEx>
          <w:tblCellMar>
            <w:top w:w="0" w:type="dxa"/>
            <w:bottom w:w="0" w:type="dxa"/>
          </w:tblCellMar>
        </w:tblPrEx>
        <w:trPr>
          <w:cantSplit/>
          <w:tblHeader/>
        </w:trPr>
        <w:tc>
          <w:tcPr>
            <w:tcW w:w="2900" w:type="dxa"/>
            <w:tcBorders>
              <w:top w:val="single" w:sz="4" w:space="0" w:color="C9D2E0"/>
              <w:left w:val="single" w:sz="4" w:space="0" w:color="C9D2E0"/>
              <w:bottom w:val="single" w:sz="4" w:space="0" w:color="C9D2E0"/>
              <w:right w:val="single" w:sz="4" w:space="0" w:color="C9D2E0"/>
            </w:tcBorders>
            <w:shd w:val="clear" w:color="auto" w:fill="0B1F3A"/>
            <w:tcMar>
              <w:top w:w="80" w:type="dxa"/>
              <w:left w:w="120" w:type="dxa"/>
              <w:bottom w:w="80" w:type="dxa"/>
              <w:right w:w="120" w:type="dxa"/>
            </w:tcMar>
          </w:tcPr>
          <w:p w:rsidR="00CB3630" w:rsidRDefault="008761EB">
            <w:proofErr w:type="spellStart"/>
            <w:r>
              <w:rPr>
                <w:b/>
                <w:bCs/>
                <w:color w:val="FFFFFF"/>
              </w:rPr>
              <w:t>xSecurity</w:t>
            </w:r>
            <w:proofErr w:type="spellEnd"/>
            <w:r>
              <w:rPr>
                <w:b/>
                <w:bCs/>
                <w:color w:val="FFFFFF"/>
              </w:rPr>
              <w:t xml:space="preserve"> service</w:t>
            </w:r>
          </w:p>
        </w:tc>
        <w:tc>
          <w:tcPr>
            <w:tcW w:w="3326" w:type="dxa"/>
            <w:tcBorders>
              <w:top w:val="single" w:sz="4" w:space="0" w:color="C9D2E0"/>
              <w:left w:val="single" w:sz="4" w:space="0" w:color="C9D2E0"/>
              <w:bottom w:val="single" w:sz="4" w:space="0" w:color="C9D2E0"/>
              <w:right w:val="single" w:sz="4" w:space="0" w:color="C9D2E0"/>
            </w:tcBorders>
            <w:shd w:val="clear" w:color="auto" w:fill="0B1F3A"/>
            <w:tcMar>
              <w:top w:w="80" w:type="dxa"/>
              <w:left w:w="120" w:type="dxa"/>
              <w:bottom w:w="80" w:type="dxa"/>
              <w:right w:w="120" w:type="dxa"/>
            </w:tcMar>
          </w:tcPr>
          <w:p w:rsidR="00CB3630" w:rsidRDefault="008761EB">
            <w:r>
              <w:rPr>
                <w:b/>
                <w:bCs/>
                <w:color w:val="FFFFFF"/>
              </w:rPr>
              <w:t>URL</w:t>
            </w:r>
          </w:p>
        </w:tc>
        <w:tc>
          <w:tcPr>
            <w:tcW w:w="2800" w:type="dxa"/>
            <w:tcBorders>
              <w:top w:val="single" w:sz="4" w:space="0" w:color="C9D2E0"/>
              <w:left w:val="single" w:sz="4" w:space="0" w:color="C9D2E0"/>
              <w:bottom w:val="single" w:sz="4" w:space="0" w:color="C9D2E0"/>
              <w:right w:val="single" w:sz="4" w:space="0" w:color="C9D2E0"/>
            </w:tcBorders>
            <w:shd w:val="clear" w:color="auto" w:fill="0B1F3A"/>
            <w:tcMar>
              <w:top w:w="80" w:type="dxa"/>
              <w:left w:w="120" w:type="dxa"/>
              <w:bottom w:w="80" w:type="dxa"/>
              <w:right w:w="120" w:type="dxa"/>
            </w:tcMar>
          </w:tcPr>
          <w:p w:rsidR="00CB3630" w:rsidRDefault="008761EB">
            <w:r>
              <w:rPr>
                <w:b/>
                <w:bCs/>
                <w:color w:val="FFFFFF"/>
              </w:rPr>
              <w:t>Role</w:t>
            </w:r>
          </w:p>
        </w:tc>
      </w:tr>
      <w:tr w:rsidR="00CB3630">
        <w:tblPrEx>
          <w:tblCellMar>
            <w:top w:w="0" w:type="dxa"/>
            <w:bottom w:w="0" w:type="dxa"/>
          </w:tblCellMar>
        </w:tblPrEx>
        <w:trPr>
          <w:cantSplit/>
        </w:trPr>
        <w:tc>
          <w:tcPr>
            <w:tcW w:w="2900" w:type="dxa"/>
            <w:tcBorders>
              <w:top w:val="single" w:sz="4" w:space="0" w:color="C9D2E0"/>
              <w:left w:val="single" w:sz="4" w:space="0" w:color="C9D2E0"/>
              <w:bottom w:val="single" w:sz="4" w:space="0" w:color="C9D2E0"/>
              <w:right w:val="single" w:sz="4" w:space="0" w:color="C9D2E0"/>
            </w:tcBorders>
            <w:tcMar>
              <w:top w:w="80" w:type="dxa"/>
              <w:left w:w="120" w:type="dxa"/>
              <w:bottom w:w="80" w:type="dxa"/>
              <w:right w:w="120" w:type="dxa"/>
            </w:tcMar>
          </w:tcPr>
          <w:p w:rsidR="00CB3630" w:rsidRDefault="008761EB">
            <w:r>
              <w:t>Cybersecurity Services</w:t>
            </w:r>
          </w:p>
        </w:tc>
        <w:tc>
          <w:tcPr>
            <w:tcW w:w="3326" w:type="dxa"/>
            <w:tcBorders>
              <w:top w:val="single" w:sz="4" w:space="0" w:color="C9D2E0"/>
              <w:left w:val="single" w:sz="4" w:space="0" w:color="C9D2E0"/>
              <w:bottom w:val="single" w:sz="4" w:space="0" w:color="C9D2E0"/>
              <w:right w:val="single" w:sz="4" w:space="0" w:color="C9D2E0"/>
            </w:tcBorders>
            <w:tcMar>
              <w:top w:w="80" w:type="dxa"/>
              <w:left w:w="120" w:type="dxa"/>
              <w:bottom w:w="80" w:type="dxa"/>
              <w:right w:w="120" w:type="dxa"/>
            </w:tcMar>
          </w:tcPr>
          <w:p w:rsidR="00CB3630" w:rsidRDefault="008761EB">
            <w:r>
              <w:rPr>
                <w:rFonts w:ascii="Consolas" w:eastAsia="Consolas" w:hAnsi="Consolas" w:cs="Consolas"/>
                <w:color w:val="0B1F3A"/>
                <w:sz w:val="19"/>
                <w:szCs w:val="19"/>
              </w:rPr>
              <w:t>/services/cyber-security-service</w:t>
            </w:r>
          </w:p>
        </w:tc>
        <w:tc>
          <w:tcPr>
            <w:tcW w:w="2800" w:type="dxa"/>
            <w:tcBorders>
              <w:top w:val="single" w:sz="4" w:space="0" w:color="C9D2E0"/>
              <w:left w:val="single" w:sz="4" w:space="0" w:color="C9D2E0"/>
              <w:bottom w:val="single" w:sz="4" w:space="0" w:color="C9D2E0"/>
              <w:right w:val="single" w:sz="4" w:space="0" w:color="C9D2E0"/>
            </w:tcBorders>
            <w:tcMar>
              <w:top w:w="80" w:type="dxa"/>
              <w:left w:w="120" w:type="dxa"/>
              <w:bottom w:w="80" w:type="dxa"/>
              <w:right w:w="120" w:type="dxa"/>
            </w:tcMar>
          </w:tcPr>
          <w:p w:rsidR="00CB3630" w:rsidRDefault="008761EB">
            <w:r>
              <w:t>Broad; gets a new OT &amp; SCADA Security card</w:t>
            </w:r>
          </w:p>
        </w:tc>
      </w:tr>
      <w:tr w:rsidR="00CB3630">
        <w:tblPrEx>
          <w:tblCellMar>
            <w:top w:w="0" w:type="dxa"/>
            <w:bottom w:w="0" w:type="dxa"/>
          </w:tblCellMar>
        </w:tblPrEx>
        <w:trPr>
          <w:cantSplit/>
        </w:trPr>
        <w:tc>
          <w:tcPr>
            <w:tcW w:w="2900" w:type="dxa"/>
            <w:tcBorders>
              <w:top w:val="single" w:sz="4" w:space="0" w:color="C9D2E0"/>
              <w:left w:val="single" w:sz="4" w:space="0" w:color="C9D2E0"/>
              <w:bottom w:val="single" w:sz="4" w:space="0" w:color="C9D2E0"/>
              <w:right w:val="single" w:sz="4" w:space="0" w:color="C9D2E0"/>
            </w:tcBorders>
            <w:tcMar>
              <w:top w:w="80" w:type="dxa"/>
              <w:left w:w="120" w:type="dxa"/>
              <w:bottom w:w="80" w:type="dxa"/>
              <w:right w:w="120" w:type="dxa"/>
            </w:tcMar>
          </w:tcPr>
          <w:p w:rsidR="00CB3630" w:rsidRDefault="008761EB">
            <w:r>
              <w:t>AI Security Services</w:t>
            </w:r>
          </w:p>
        </w:tc>
        <w:tc>
          <w:tcPr>
            <w:tcW w:w="3326" w:type="dxa"/>
            <w:tcBorders>
              <w:top w:val="single" w:sz="4" w:space="0" w:color="C9D2E0"/>
              <w:left w:val="single" w:sz="4" w:space="0" w:color="C9D2E0"/>
              <w:bottom w:val="single" w:sz="4" w:space="0" w:color="C9D2E0"/>
              <w:right w:val="single" w:sz="4" w:space="0" w:color="C9D2E0"/>
            </w:tcBorders>
            <w:tcMar>
              <w:top w:w="80" w:type="dxa"/>
              <w:left w:w="120" w:type="dxa"/>
              <w:bottom w:w="80" w:type="dxa"/>
              <w:right w:w="120" w:type="dxa"/>
            </w:tcMar>
          </w:tcPr>
          <w:p w:rsidR="00CB3630" w:rsidRDefault="008761EB">
            <w:r>
              <w:rPr>
                <w:rFonts w:ascii="Consolas" w:eastAsia="Consolas" w:hAnsi="Consolas" w:cs="Consolas"/>
                <w:color w:val="0B1F3A"/>
                <w:sz w:val="19"/>
                <w:szCs w:val="19"/>
              </w:rPr>
              <w:t>/services/ai-security-service</w:t>
            </w:r>
          </w:p>
        </w:tc>
        <w:tc>
          <w:tcPr>
            <w:tcW w:w="2800" w:type="dxa"/>
            <w:tcBorders>
              <w:top w:val="single" w:sz="4" w:space="0" w:color="C9D2E0"/>
              <w:left w:val="single" w:sz="4" w:space="0" w:color="C9D2E0"/>
              <w:bottom w:val="single" w:sz="4" w:space="0" w:color="C9D2E0"/>
              <w:right w:val="single" w:sz="4" w:space="0" w:color="C9D2E0"/>
            </w:tcBorders>
            <w:tcMar>
              <w:top w:w="80" w:type="dxa"/>
              <w:left w:w="120" w:type="dxa"/>
              <w:bottom w:w="80" w:type="dxa"/>
              <w:right w:w="120" w:type="dxa"/>
            </w:tcMar>
          </w:tcPr>
          <w:p w:rsidR="00CB3630" w:rsidRDefault="008761EB">
            <w:r>
              <w:t>AI systems only</w:t>
            </w:r>
          </w:p>
        </w:tc>
      </w:tr>
      <w:tr w:rsidR="00CB3630">
        <w:tblPrEx>
          <w:tblCellMar>
            <w:top w:w="0" w:type="dxa"/>
            <w:bottom w:w="0" w:type="dxa"/>
          </w:tblCellMar>
        </w:tblPrEx>
        <w:trPr>
          <w:cantSplit/>
        </w:trPr>
        <w:tc>
          <w:tcPr>
            <w:tcW w:w="2900" w:type="dxa"/>
            <w:tcBorders>
              <w:top w:val="single" w:sz="4" w:space="0" w:color="C9D2E0"/>
              <w:left w:val="single" w:sz="4" w:space="0" w:color="C9D2E0"/>
              <w:bottom w:val="single" w:sz="4" w:space="0" w:color="C9D2E0"/>
              <w:right w:val="single" w:sz="4" w:space="0" w:color="C9D2E0"/>
            </w:tcBorders>
            <w:tcMar>
              <w:top w:w="80" w:type="dxa"/>
              <w:left w:w="120" w:type="dxa"/>
              <w:bottom w:w="80" w:type="dxa"/>
              <w:right w:w="120" w:type="dxa"/>
            </w:tcMar>
          </w:tcPr>
          <w:p w:rsidR="00CB3630" w:rsidRDefault="008761EB">
            <w:r>
              <w:t>NEPRA IT/OT Compliance</w:t>
            </w:r>
          </w:p>
        </w:tc>
        <w:tc>
          <w:tcPr>
            <w:tcW w:w="3326" w:type="dxa"/>
            <w:tcBorders>
              <w:top w:val="single" w:sz="4" w:space="0" w:color="C9D2E0"/>
              <w:left w:val="single" w:sz="4" w:space="0" w:color="C9D2E0"/>
              <w:bottom w:val="single" w:sz="4" w:space="0" w:color="C9D2E0"/>
              <w:right w:val="single" w:sz="4" w:space="0" w:color="C9D2E0"/>
            </w:tcBorders>
            <w:tcMar>
              <w:top w:w="80" w:type="dxa"/>
              <w:left w:w="120" w:type="dxa"/>
              <w:bottom w:w="80" w:type="dxa"/>
              <w:right w:w="120" w:type="dxa"/>
            </w:tcMar>
          </w:tcPr>
          <w:p w:rsidR="00CB3630" w:rsidRDefault="008761EB">
            <w:r>
              <w:rPr>
                <w:rFonts w:ascii="Consolas" w:eastAsia="Consolas" w:hAnsi="Consolas" w:cs="Consolas"/>
                <w:color w:val="0B1F3A"/>
                <w:sz w:val="19"/>
                <w:szCs w:val="19"/>
              </w:rPr>
              <w:t>/services/</w:t>
            </w:r>
            <w:proofErr w:type="spellStart"/>
            <w:r>
              <w:rPr>
                <w:rFonts w:ascii="Consolas" w:eastAsia="Consolas" w:hAnsi="Consolas" w:cs="Consolas"/>
                <w:color w:val="0B1F3A"/>
                <w:sz w:val="19"/>
                <w:szCs w:val="19"/>
              </w:rPr>
              <w:t>nepra</w:t>
            </w:r>
            <w:proofErr w:type="spellEnd"/>
          </w:p>
        </w:tc>
        <w:tc>
          <w:tcPr>
            <w:tcW w:w="2800" w:type="dxa"/>
            <w:tcBorders>
              <w:top w:val="single" w:sz="4" w:space="0" w:color="C9D2E0"/>
              <w:left w:val="single" w:sz="4" w:space="0" w:color="C9D2E0"/>
              <w:bottom w:val="single" w:sz="4" w:space="0" w:color="C9D2E0"/>
              <w:right w:val="single" w:sz="4" w:space="0" w:color="C9D2E0"/>
            </w:tcBorders>
            <w:tcMar>
              <w:top w:w="80" w:type="dxa"/>
              <w:left w:w="120" w:type="dxa"/>
              <w:bottom w:w="80" w:type="dxa"/>
              <w:right w:w="120" w:type="dxa"/>
            </w:tcMar>
          </w:tcPr>
          <w:p w:rsidR="00CB3630" w:rsidRDefault="008761EB">
            <w:r>
              <w:t>Pakistan power sector; the OT proof page</w:t>
            </w:r>
          </w:p>
        </w:tc>
      </w:tr>
    </w:tbl>
    <w:p w:rsidR="00CB3630" w:rsidRDefault="00CB3630">
      <w:pPr>
        <w:spacing w:after="120"/>
      </w:pPr>
    </w:p>
    <w:p w:rsidR="00CB3630" w:rsidRDefault="008761EB">
      <w:pPr>
        <w:pStyle w:val="Heading3"/>
      </w:pPr>
      <w:r>
        <w:lastRenderedPageBreak/>
        <w:t>Keyword ownership (prevents c</w:t>
      </w:r>
      <w:r>
        <w:t>annibalization)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900"/>
        <w:gridCol w:w="3226"/>
      </w:tblGrid>
      <w:tr w:rsidR="00CB3630">
        <w:tblPrEx>
          <w:tblCellMar>
            <w:top w:w="0" w:type="dxa"/>
            <w:bottom w:w="0" w:type="dxa"/>
          </w:tblCellMar>
        </w:tblPrEx>
        <w:trPr>
          <w:cantSplit/>
          <w:tblHeader/>
        </w:trPr>
        <w:tc>
          <w:tcPr>
            <w:tcW w:w="1900" w:type="dxa"/>
            <w:tcBorders>
              <w:top w:val="single" w:sz="4" w:space="0" w:color="C9D2E0"/>
              <w:left w:val="single" w:sz="4" w:space="0" w:color="C9D2E0"/>
              <w:bottom w:val="single" w:sz="4" w:space="0" w:color="C9D2E0"/>
              <w:right w:val="single" w:sz="4" w:space="0" w:color="C9D2E0"/>
            </w:tcBorders>
            <w:shd w:val="clear" w:color="auto" w:fill="0B1F3A"/>
            <w:tcMar>
              <w:top w:w="80" w:type="dxa"/>
              <w:left w:w="120" w:type="dxa"/>
              <w:bottom w:w="80" w:type="dxa"/>
              <w:right w:w="120" w:type="dxa"/>
            </w:tcMar>
          </w:tcPr>
          <w:p w:rsidR="00CB3630" w:rsidRDefault="008761EB">
            <w:r>
              <w:rPr>
                <w:b/>
                <w:bCs/>
                <w:color w:val="FFFFFF"/>
              </w:rPr>
              <w:t>Page</w:t>
            </w:r>
          </w:p>
        </w:tc>
        <w:tc>
          <w:tcPr>
            <w:tcW w:w="3900" w:type="dxa"/>
            <w:tcBorders>
              <w:top w:val="single" w:sz="4" w:space="0" w:color="C9D2E0"/>
              <w:left w:val="single" w:sz="4" w:space="0" w:color="C9D2E0"/>
              <w:bottom w:val="single" w:sz="4" w:space="0" w:color="C9D2E0"/>
              <w:right w:val="single" w:sz="4" w:space="0" w:color="C9D2E0"/>
            </w:tcBorders>
            <w:shd w:val="clear" w:color="auto" w:fill="0B1F3A"/>
            <w:tcMar>
              <w:top w:w="80" w:type="dxa"/>
              <w:left w:w="120" w:type="dxa"/>
              <w:bottom w:w="80" w:type="dxa"/>
              <w:right w:w="120" w:type="dxa"/>
            </w:tcMar>
          </w:tcPr>
          <w:p w:rsidR="00CB3630" w:rsidRDefault="008761EB">
            <w:r>
              <w:rPr>
                <w:b/>
                <w:bCs/>
                <w:color w:val="FFFFFF"/>
              </w:rPr>
              <w:t>Owns</w:t>
            </w:r>
          </w:p>
        </w:tc>
        <w:tc>
          <w:tcPr>
            <w:tcW w:w="3226" w:type="dxa"/>
            <w:tcBorders>
              <w:top w:val="single" w:sz="4" w:space="0" w:color="C9D2E0"/>
              <w:left w:val="single" w:sz="4" w:space="0" w:color="C9D2E0"/>
              <w:bottom w:val="single" w:sz="4" w:space="0" w:color="C9D2E0"/>
              <w:right w:val="single" w:sz="4" w:space="0" w:color="C9D2E0"/>
            </w:tcBorders>
            <w:shd w:val="clear" w:color="auto" w:fill="0B1F3A"/>
            <w:tcMar>
              <w:top w:w="80" w:type="dxa"/>
              <w:left w:w="120" w:type="dxa"/>
              <w:bottom w:w="80" w:type="dxa"/>
              <w:right w:w="120" w:type="dxa"/>
            </w:tcMar>
          </w:tcPr>
          <w:p w:rsidR="00CB3630" w:rsidRDefault="008761EB">
            <w:r>
              <w:rPr>
                <w:b/>
                <w:bCs/>
                <w:color w:val="FFFFFF"/>
              </w:rPr>
              <w:t>Must NOT target</w:t>
            </w:r>
          </w:p>
        </w:tc>
      </w:tr>
      <w:tr w:rsidR="00CB3630">
        <w:tblPrEx>
          <w:tblCellMar>
            <w:top w:w="0" w:type="dxa"/>
            <w:bottom w:w="0" w:type="dxa"/>
          </w:tblCellMar>
        </w:tblPrEx>
        <w:trPr>
          <w:cantSplit/>
        </w:trPr>
        <w:tc>
          <w:tcPr>
            <w:tcW w:w="1900" w:type="dxa"/>
            <w:tcBorders>
              <w:top w:val="single" w:sz="4" w:space="0" w:color="C9D2E0"/>
              <w:left w:val="single" w:sz="4" w:space="0" w:color="C9D2E0"/>
              <w:bottom w:val="single" w:sz="4" w:space="0" w:color="C9D2E0"/>
              <w:right w:val="single" w:sz="4" w:space="0" w:color="C9D2E0"/>
            </w:tcBorders>
            <w:tcMar>
              <w:top w:w="80" w:type="dxa"/>
              <w:left w:w="120" w:type="dxa"/>
              <w:bottom w:w="80" w:type="dxa"/>
              <w:right w:w="120" w:type="dxa"/>
            </w:tcMar>
          </w:tcPr>
          <w:p w:rsidR="00CB3630" w:rsidRDefault="008761EB">
            <w:r>
              <w:t>Cybersecurity</w:t>
            </w:r>
          </w:p>
        </w:tc>
        <w:tc>
          <w:tcPr>
            <w:tcW w:w="3900" w:type="dxa"/>
            <w:tcBorders>
              <w:top w:val="single" w:sz="4" w:space="0" w:color="C9D2E0"/>
              <w:left w:val="single" w:sz="4" w:space="0" w:color="C9D2E0"/>
              <w:bottom w:val="single" w:sz="4" w:space="0" w:color="C9D2E0"/>
              <w:right w:val="single" w:sz="4" w:space="0" w:color="C9D2E0"/>
            </w:tcBorders>
            <w:tcMar>
              <w:top w:w="80" w:type="dxa"/>
              <w:left w:w="120" w:type="dxa"/>
              <w:bottom w:w="80" w:type="dxa"/>
              <w:right w:w="120" w:type="dxa"/>
            </w:tcMar>
          </w:tcPr>
          <w:p w:rsidR="00CB3630" w:rsidRDefault="008761EB">
            <w:r>
              <w:t>cybersecurity services, VAPT, penetration testing, cloud/app security, SOC, OT security (generic, one section)</w:t>
            </w:r>
          </w:p>
        </w:tc>
        <w:tc>
          <w:tcPr>
            <w:tcW w:w="3226" w:type="dxa"/>
            <w:tcBorders>
              <w:top w:val="single" w:sz="4" w:space="0" w:color="C9D2E0"/>
              <w:left w:val="single" w:sz="4" w:space="0" w:color="C9D2E0"/>
              <w:bottom w:val="single" w:sz="4" w:space="0" w:color="C9D2E0"/>
              <w:right w:val="single" w:sz="4" w:space="0" w:color="C9D2E0"/>
            </w:tcBorders>
            <w:tcMar>
              <w:top w:w="80" w:type="dxa"/>
              <w:left w:w="120" w:type="dxa"/>
              <w:bottom w:w="80" w:type="dxa"/>
              <w:right w:w="120" w:type="dxa"/>
            </w:tcMar>
          </w:tcPr>
          <w:p w:rsidR="00CB3630" w:rsidRDefault="008761EB">
            <w:r>
              <w:t xml:space="preserve">prompt injection, AI red teaming, secure </w:t>
            </w:r>
            <w:proofErr w:type="spellStart"/>
            <w:r>
              <w:t>MLOps</w:t>
            </w:r>
            <w:proofErr w:type="spellEnd"/>
          </w:p>
        </w:tc>
      </w:tr>
      <w:tr w:rsidR="00CB3630">
        <w:tblPrEx>
          <w:tblCellMar>
            <w:top w:w="0" w:type="dxa"/>
            <w:bottom w:w="0" w:type="dxa"/>
          </w:tblCellMar>
        </w:tblPrEx>
        <w:trPr>
          <w:cantSplit/>
        </w:trPr>
        <w:tc>
          <w:tcPr>
            <w:tcW w:w="1900" w:type="dxa"/>
            <w:tcBorders>
              <w:top w:val="single" w:sz="4" w:space="0" w:color="C9D2E0"/>
              <w:left w:val="single" w:sz="4" w:space="0" w:color="C9D2E0"/>
              <w:bottom w:val="single" w:sz="4" w:space="0" w:color="C9D2E0"/>
              <w:right w:val="single" w:sz="4" w:space="0" w:color="C9D2E0"/>
            </w:tcBorders>
            <w:tcMar>
              <w:top w:w="80" w:type="dxa"/>
              <w:left w:w="120" w:type="dxa"/>
              <w:bottom w:w="80" w:type="dxa"/>
              <w:right w:w="120" w:type="dxa"/>
            </w:tcMar>
          </w:tcPr>
          <w:p w:rsidR="00CB3630" w:rsidRDefault="008761EB">
            <w:r>
              <w:t>AI Security</w:t>
            </w:r>
          </w:p>
        </w:tc>
        <w:tc>
          <w:tcPr>
            <w:tcW w:w="3900" w:type="dxa"/>
            <w:tcBorders>
              <w:top w:val="single" w:sz="4" w:space="0" w:color="C9D2E0"/>
              <w:left w:val="single" w:sz="4" w:space="0" w:color="C9D2E0"/>
              <w:bottom w:val="single" w:sz="4" w:space="0" w:color="C9D2E0"/>
              <w:right w:val="single" w:sz="4" w:space="0" w:color="C9D2E0"/>
            </w:tcBorders>
            <w:tcMar>
              <w:top w:w="80" w:type="dxa"/>
              <w:left w:w="120" w:type="dxa"/>
              <w:bottom w:w="80" w:type="dxa"/>
              <w:right w:w="120" w:type="dxa"/>
            </w:tcMar>
          </w:tcPr>
          <w:p w:rsidR="00CB3630" w:rsidRDefault="008761EB">
            <w:r>
              <w:t>AI security, AI red teaming, prompt injection testing, LLM security, AI SOC</w:t>
            </w:r>
          </w:p>
        </w:tc>
        <w:tc>
          <w:tcPr>
            <w:tcW w:w="3226" w:type="dxa"/>
            <w:tcBorders>
              <w:top w:val="single" w:sz="4" w:space="0" w:color="C9D2E0"/>
              <w:left w:val="single" w:sz="4" w:space="0" w:color="C9D2E0"/>
              <w:bottom w:val="single" w:sz="4" w:space="0" w:color="C9D2E0"/>
              <w:right w:val="single" w:sz="4" w:space="0" w:color="C9D2E0"/>
            </w:tcBorders>
            <w:tcMar>
              <w:top w:w="80" w:type="dxa"/>
              <w:left w:w="120" w:type="dxa"/>
              <w:bottom w:w="80" w:type="dxa"/>
              <w:right w:w="120" w:type="dxa"/>
            </w:tcMar>
          </w:tcPr>
          <w:p w:rsidR="00CB3630" w:rsidRDefault="008761EB">
            <w:r>
              <w:t>VAPT, OT / SCADA</w:t>
            </w:r>
          </w:p>
        </w:tc>
      </w:tr>
      <w:tr w:rsidR="00CB3630">
        <w:tblPrEx>
          <w:tblCellMar>
            <w:top w:w="0" w:type="dxa"/>
            <w:bottom w:w="0" w:type="dxa"/>
          </w:tblCellMar>
        </w:tblPrEx>
        <w:trPr>
          <w:cantSplit/>
        </w:trPr>
        <w:tc>
          <w:tcPr>
            <w:tcW w:w="1900" w:type="dxa"/>
            <w:tcBorders>
              <w:top w:val="single" w:sz="4" w:space="0" w:color="C9D2E0"/>
              <w:left w:val="single" w:sz="4" w:space="0" w:color="C9D2E0"/>
              <w:bottom w:val="single" w:sz="4" w:space="0" w:color="C9D2E0"/>
              <w:right w:val="single" w:sz="4" w:space="0" w:color="C9D2E0"/>
            </w:tcBorders>
            <w:tcMar>
              <w:top w:w="80" w:type="dxa"/>
              <w:left w:w="120" w:type="dxa"/>
              <w:bottom w:w="80" w:type="dxa"/>
              <w:right w:w="120" w:type="dxa"/>
            </w:tcMar>
          </w:tcPr>
          <w:p w:rsidR="00CB3630" w:rsidRDefault="008761EB">
            <w:r>
              <w:t>NEPRA</w:t>
            </w:r>
          </w:p>
        </w:tc>
        <w:tc>
          <w:tcPr>
            <w:tcW w:w="3900" w:type="dxa"/>
            <w:tcBorders>
              <w:top w:val="single" w:sz="4" w:space="0" w:color="C9D2E0"/>
              <w:left w:val="single" w:sz="4" w:space="0" w:color="C9D2E0"/>
              <w:bottom w:val="single" w:sz="4" w:space="0" w:color="C9D2E0"/>
              <w:right w:val="single" w:sz="4" w:space="0" w:color="C9D2E0"/>
            </w:tcBorders>
            <w:tcMar>
              <w:top w:w="80" w:type="dxa"/>
              <w:left w:w="120" w:type="dxa"/>
              <w:bottom w:w="80" w:type="dxa"/>
              <w:right w:w="120" w:type="dxa"/>
            </w:tcMar>
          </w:tcPr>
          <w:p w:rsidR="00CB3630" w:rsidRDefault="008761EB">
            <w:r>
              <w:t>NEPRA compliance, NEPRA IT/OT Regulations 2022, NEPRA cybersecurity audit, SCADA security for power sector</w:t>
            </w:r>
          </w:p>
        </w:tc>
        <w:tc>
          <w:tcPr>
            <w:tcW w:w="3226" w:type="dxa"/>
            <w:tcBorders>
              <w:top w:val="single" w:sz="4" w:space="0" w:color="C9D2E0"/>
              <w:left w:val="single" w:sz="4" w:space="0" w:color="C9D2E0"/>
              <w:bottom w:val="single" w:sz="4" w:space="0" w:color="C9D2E0"/>
              <w:right w:val="single" w:sz="4" w:space="0" w:color="C9D2E0"/>
            </w:tcBorders>
            <w:tcMar>
              <w:top w:w="80" w:type="dxa"/>
              <w:left w:w="120" w:type="dxa"/>
              <w:bottom w:w="80" w:type="dxa"/>
              <w:right w:w="120" w:type="dxa"/>
            </w:tcMar>
          </w:tcPr>
          <w:p w:rsidR="00CB3630" w:rsidRDefault="008761EB">
            <w:r>
              <w:t>generic "cybersecurity services"</w:t>
            </w:r>
          </w:p>
        </w:tc>
      </w:tr>
      <w:tr w:rsidR="00CB3630">
        <w:tblPrEx>
          <w:tblCellMar>
            <w:top w:w="0" w:type="dxa"/>
            <w:bottom w:w="0" w:type="dxa"/>
          </w:tblCellMar>
        </w:tblPrEx>
        <w:trPr>
          <w:cantSplit/>
        </w:trPr>
        <w:tc>
          <w:tcPr>
            <w:tcW w:w="1900" w:type="dxa"/>
            <w:tcBorders>
              <w:top w:val="single" w:sz="4" w:space="0" w:color="C9D2E0"/>
              <w:left w:val="single" w:sz="4" w:space="0" w:color="C9D2E0"/>
              <w:bottom w:val="single" w:sz="4" w:space="0" w:color="C9D2E0"/>
              <w:right w:val="single" w:sz="4" w:space="0" w:color="C9D2E0"/>
            </w:tcBorders>
            <w:tcMar>
              <w:top w:w="80" w:type="dxa"/>
              <w:left w:w="120" w:type="dxa"/>
              <w:bottom w:w="80" w:type="dxa"/>
              <w:right w:w="120" w:type="dxa"/>
            </w:tcMar>
          </w:tcPr>
          <w:p w:rsidR="00CB3630" w:rsidRDefault="008761EB">
            <w:r>
              <w:t>Energy &amp; Utilit</w:t>
            </w:r>
            <w:r>
              <w:t>ies (industry)</w:t>
            </w:r>
          </w:p>
        </w:tc>
        <w:tc>
          <w:tcPr>
            <w:tcW w:w="3900" w:type="dxa"/>
            <w:tcBorders>
              <w:top w:val="single" w:sz="4" w:space="0" w:color="C9D2E0"/>
              <w:left w:val="single" w:sz="4" w:space="0" w:color="C9D2E0"/>
              <w:bottom w:val="single" w:sz="4" w:space="0" w:color="C9D2E0"/>
              <w:right w:val="single" w:sz="4" w:space="0" w:color="C9D2E0"/>
            </w:tcBorders>
            <w:tcMar>
              <w:top w:w="80" w:type="dxa"/>
              <w:left w:w="120" w:type="dxa"/>
              <w:bottom w:w="80" w:type="dxa"/>
              <w:right w:w="120" w:type="dxa"/>
            </w:tcMar>
          </w:tcPr>
          <w:p w:rsidR="00CB3630" w:rsidRDefault="008761EB">
            <w:r>
              <w:t>AI for energy &amp; utilities</w:t>
            </w:r>
          </w:p>
        </w:tc>
        <w:tc>
          <w:tcPr>
            <w:tcW w:w="3226" w:type="dxa"/>
            <w:tcBorders>
              <w:top w:val="single" w:sz="4" w:space="0" w:color="C9D2E0"/>
              <w:left w:val="single" w:sz="4" w:space="0" w:color="C9D2E0"/>
              <w:bottom w:val="single" w:sz="4" w:space="0" w:color="C9D2E0"/>
              <w:right w:val="single" w:sz="4" w:space="0" w:color="C9D2E0"/>
            </w:tcBorders>
            <w:tcMar>
              <w:top w:w="80" w:type="dxa"/>
              <w:left w:w="120" w:type="dxa"/>
              <w:bottom w:w="80" w:type="dxa"/>
              <w:right w:w="120" w:type="dxa"/>
            </w:tcMar>
          </w:tcPr>
          <w:p w:rsidR="00CB3630" w:rsidRDefault="008761EB">
            <w:r>
              <w:t>compliance-audit terms (link out to NEPRA instead)</w:t>
            </w:r>
          </w:p>
        </w:tc>
      </w:tr>
    </w:tbl>
    <w:p w:rsidR="00CB3630" w:rsidRDefault="00CB3630">
      <w:pPr>
        <w:spacing w:after="120"/>
      </w:pPr>
    </w:p>
    <w:p w:rsidR="00CB3630" w:rsidRDefault="008761EB">
      <w:pPr>
        <w:pStyle w:val="Heading1"/>
      </w:pPr>
      <w:r>
        <w:t>3. Cybersecurity page changes</w:t>
      </w:r>
    </w:p>
    <w:p w:rsidR="00CB3630" w:rsidRDefault="008761EB">
      <w:pPr>
        <w:spacing w:after="120"/>
      </w:pPr>
      <w:r>
        <w:t xml:space="preserve">This is the main cannibalization problem. The Cybersecurity page is currently optimized as an </w:t>
      </w:r>
      <w:r>
        <w:rPr>
          <w:b/>
          <w:bCs/>
        </w:rPr>
        <w:t>AI</w:t>
      </w:r>
      <w:r>
        <w:t xml:space="preserve"> security page.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3626"/>
      </w:tblGrid>
      <w:tr w:rsidR="00CB3630">
        <w:tblPrEx>
          <w:tblCellMar>
            <w:top w:w="0" w:type="dxa"/>
            <w:bottom w:w="0" w:type="dxa"/>
          </w:tblCellMar>
        </w:tblPrEx>
        <w:trPr>
          <w:cantSplit/>
          <w:tblHeader/>
        </w:trPr>
        <w:tc>
          <w:tcPr>
            <w:tcW w:w="2000" w:type="dxa"/>
            <w:tcBorders>
              <w:top w:val="single" w:sz="4" w:space="0" w:color="C9D2E0"/>
              <w:left w:val="single" w:sz="4" w:space="0" w:color="C9D2E0"/>
              <w:bottom w:val="single" w:sz="4" w:space="0" w:color="C9D2E0"/>
              <w:right w:val="single" w:sz="4" w:space="0" w:color="C9D2E0"/>
            </w:tcBorders>
            <w:shd w:val="clear" w:color="auto" w:fill="0B1F3A"/>
            <w:tcMar>
              <w:top w:w="80" w:type="dxa"/>
              <w:left w:w="120" w:type="dxa"/>
              <w:bottom w:w="80" w:type="dxa"/>
              <w:right w:w="120" w:type="dxa"/>
            </w:tcMar>
          </w:tcPr>
          <w:p w:rsidR="00CB3630" w:rsidRDefault="008761EB">
            <w:r>
              <w:rPr>
                <w:b/>
                <w:bCs/>
                <w:color w:val="FFFFFF"/>
              </w:rPr>
              <w:t>Element</w:t>
            </w:r>
          </w:p>
        </w:tc>
        <w:tc>
          <w:tcPr>
            <w:tcW w:w="3400" w:type="dxa"/>
            <w:tcBorders>
              <w:top w:val="single" w:sz="4" w:space="0" w:color="C9D2E0"/>
              <w:left w:val="single" w:sz="4" w:space="0" w:color="C9D2E0"/>
              <w:bottom w:val="single" w:sz="4" w:space="0" w:color="C9D2E0"/>
              <w:right w:val="single" w:sz="4" w:space="0" w:color="C9D2E0"/>
            </w:tcBorders>
            <w:shd w:val="clear" w:color="auto" w:fill="0B1F3A"/>
            <w:tcMar>
              <w:top w:w="80" w:type="dxa"/>
              <w:left w:w="120" w:type="dxa"/>
              <w:bottom w:w="80" w:type="dxa"/>
              <w:right w:w="120" w:type="dxa"/>
            </w:tcMar>
          </w:tcPr>
          <w:p w:rsidR="00CB3630" w:rsidRDefault="008761EB">
            <w:r>
              <w:rPr>
                <w:b/>
                <w:bCs/>
                <w:color w:val="FFFFFF"/>
              </w:rPr>
              <w:t>Live now</w:t>
            </w:r>
          </w:p>
        </w:tc>
        <w:tc>
          <w:tcPr>
            <w:tcW w:w="3626" w:type="dxa"/>
            <w:tcBorders>
              <w:top w:val="single" w:sz="4" w:space="0" w:color="C9D2E0"/>
              <w:left w:val="single" w:sz="4" w:space="0" w:color="C9D2E0"/>
              <w:bottom w:val="single" w:sz="4" w:space="0" w:color="C9D2E0"/>
              <w:right w:val="single" w:sz="4" w:space="0" w:color="C9D2E0"/>
            </w:tcBorders>
            <w:shd w:val="clear" w:color="auto" w:fill="0B1F3A"/>
            <w:tcMar>
              <w:top w:w="80" w:type="dxa"/>
              <w:left w:w="120" w:type="dxa"/>
              <w:bottom w:w="80" w:type="dxa"/>
              <w:right w:w="120" w:type="dxa"/>
            </w:tcMar>
          </w:tcPr>
          <w:p w:rsidR="00CB3630" w:rsidRDefault="008761EB">
            <w:r>
              <w:rPr>
                <w:b/>
                <w:bCs/>
                <w:color w:val="FFFFFF"/>
              </w:rPr>
              <w:t>Change to</w:t>
            </w:r>
          </w:p>
        </w:tc>
      </w:tr>
      <w:tr w:rsidR="00CB3630">
        <w:tblPrEx>
          <w:tblCellMar>
            <w:top w:w="0" w:type="dxa"/>
            <w:bottom w:w="0" w:type="dxa"/>
          </w:tblCellMar>
        </w:tblPrEx>
        <w:trPr>
          <w:cantSplit/>
        </w:trPr>
        <w:tc>
          <w:tcPr>
            <w:tcW w:w="2000" w:type="dxa"/>
            <w:tcBorders>
              <w:top w:val="single" w:sz="4" w:space="0" w:color="C9D2E0"/>
              <w:left w:val="single" w:sz="4" w:space="0" w:color="C9D2E0"/>
              <w:bottom w:val="single" w:sz="4" w:space="0" w:color="C9D2E0"/>
              <w:right w:val="single" w:sz="4" w:space="0" w:color="C9D2E0"/>
            </w:tcBorders>
            <w:tcMar>
              <w:top w:w="80" w:type="dxa"/>
              <w:left w:w="120" w:type="dxa"/>
              <w:bottom w:w="80" w:type="dxa"/>
              <w:right w:w="120" w:type="dxa"/>
            </w:tcMar>
          </w:tcPr>
          <w:p w:rsidR="00CB3630" w:rsidRDefault="008761EB">
            <w:r>
              <w:t>Title tag</w:t>
            </w:r>
          </w:p>
        </w:tc>
        <w:tc>
          <w:tcPr>
            <w:tcW w:w="3400" w:type="dxa"/>
            <w:tcBorders>
              <w:top w:val="single" w:sz="4" w:space="0" w:color="C9D2E0"/>
              <w:left w:val="single" w:sz="4" w:space="0" w:color="C9D2E0"/>
              <w:bottom w:val="single" w:sz="4" w:space="0" w:color="C9D2E0"/>
              <w:right w:val="single" w:sz="4" w:space="0" w:color="C9D2E0"/>
            </w:tcBorders>
            <w:tcMar>
              <w:top w:w="80" w:type="dxa"/>
              <w:left w:w="120" w:type="dxa"/>
              <w:bottom w:w="80" w:type="dxa"/>
              <w:right w:w="120" w:type="dxa"/>
            </w:tcMar>
          </w:tcPr>
          <w:p w:rsidR="00CB3630" w:rsidRDefault="008761EB">
            <w:r>
              <w:t xml:space="preserve">AI Cybersecurity Services | Threat Intelligence &amp; Secure </w:t>
            </w:r>
            <w:proofErr w:type="spellStart"/>
            <w:r>
              <w:t>MLOps</w:t>
            </w:r>
            <w:proofErr w:type="spellEnd"/>
            <w:r>
              <w:t xml:space="preserve"> | </w:t>
            </w:r>
            <w:proofErr w:type="spellStart"/>
            <w:r>
              <w:t>xLoop</w:t>
            </w:r>
            <w:proofErr w:type="spellEnd"/>
            <w:r>
              <w:t xml:space="preserve"> Digital | </w:t>
            </w:r>
            <w:proofErr w:type="spellStart"/>
            <w:r>
              <w:t>xLoop</w:t>
            </w:r>
            <w:proofErr w:type="spellEnd"/>
            <w:r>
              <w:t xml:space="preserve"> Digital</w:t>
            </w:r>
          </w:p>
        </w:tc>
        <w:tc>
          <w:tcPr>
            <w:tcW w:w="3626" w:type="dxa"/>
            <w:tcBorders>
              <w:top w:val="single" w:sz="4" w:space="0" w:color="C9D2E0"/>
              <w:left w:val="single" w:sz="4" w:space="0" w:color="C9D2E0"/>
              <w:bottom w:val="single" w:sz="4" w:space="0" w:color="C9D2E0"/>
              <w:right w:val="single" w:sz="4" w:space="0" w:color="C9D2E0"/>
            </w:tcBorders>
            <w:tcMar>
              <w:top w:w="80" w:type="dxa"/>
              <w:left w:w="120" w:type="dxa"/>
              <w:bottom w:w="80" w:type="dxa"/>
              <w:right w:w="120" w:type="dxa"/>
            </w:tcMar>
          </w:tcPr>
          <w:p w:rsidR="00CB3630" w:rsidRDefault="008761EB">
            <w:r>
              <w:rPr>
                <w:b/>
                <w:bCs/>
              </w:rPr>
              <w:t xml:space="preserve">Cybersecurity Services: VAPT, SOC &amp; OT Security | </w:t>
            </w:r>
            <w:proofErr w:type="spellStart"/>
            <w:r>
              <w:rPr>
                <w:b/>
                <w:bCs/>
              </w:rPr>
              <w:t>xLoop</w:t>
            </w:r>
            <w:proofErr w:type="spellEnd"/>
            <w:r>
              <w:rPr>
                <w:b/>
                <w:bCs/>
              </w:rPr>
              <w:t xml:space="preserve"> Digital</w:t>
            </w:r>
          </w:p>
        </w:tc>
      </w:tr>
      <w:tr w:rsidR="00CB3630">
        <w:tblPrEx>
          <w:tblCellMar>
            <w:top w:w="0" w:type="dxa"/>
            <w:bottom w:w="0" w:type="dxa"/>
          </w:tblCellMar>
        </w:tblPrEx>
        <w:trPr>
          <w:cantSplit/>
        </w:trPr>
        <w:tc>
          <w:tcPr>
            <w:tcW w:w="2000" w:type="dxa"/>
            <w:tcBorders>
              <w:top w:val="single" w:sz="4" w:space="0" w:color="C9D2E0"/>
              <w:left w:val="single" w:sz="4" w:space="0" w:color="C9D2E0"/>
              <w:bottom w:val="single" w:sz="4" w:space="0" w:color="C9D2E0"/>
              <w:right w:val="single" w:sz="4" w:space="0" w:color="C9D2E0"/>
            </w:tcBorders>
            <w:tcMar>
              <w:top w:w="80" w:type="dxa"/>
              <w:left w:w="120" w:type="dxa"/>
              <w:bottom w:w="80" w:type="dxa"/>
              <w:right w:w="120" w:type="dxa"/>
            </w:tcMar>
          </w:tcPr>
          <w:p w:rsidR="00CB3630" w:rsidRDefault="008761EB">
            <w:r>
              <w:t>Meta description</w:t>
            </w:r>
          </w:p>
        </w:tc>
        <w:tc>
          <w:tcPr>
            <w:tcW w:w="3400" w:type="dxa"/>
            <w:tcBorders>
              <w:top w:val="single" w:sz="4" w:space="0" w:color="C9D2E0"/>
              <w:left w:val="single" w:sz="4" w:space="0" w:color="C9D2E0"/>
              <w:bottom w:val="single" w:sz="4" w:space="0" w:color="C9D2E0"/>
              <w:right w:val="single" w:sz="4" w:space="0" w:color="C9D2E0"/>
            </w:tcBorders>
            <w:tcMar>
              <w:top w:w="80" w:type="dxa"/>
              <w:left w:w="120" w:type="dxa"/>
              <w:bottom w:w="80" w:type="dxa"/>
              <w:right w:w="120" w:type="dxa"/>
            </w:tcMar>
          </w:tcPr>
          <w:p w:rsidR="00CB3630" w:rsidRDefault="008761EB">
            <w:r>
              <w:t xml:space="preserve">"…prompt injection testing, AI threat intelligence, red teaming, secure </w:t>
            </w:r>
            <w:proofErr w:type="spellStart"/>
            <w:r>
              <w:t>MLOps</w:t>
            </w:r>
            <w:proofErr w:type="spellEnd"/>
            <w:r>
              <w:t>…"</w:t>
            </w:r>
          </w:p>
        </w:tc>
        <w:tc>
          <w:tcPr>
            <w:tcW w:w="3626" w:type="dxa"/>
            <w:tcBorders>
              <w:top w:val="single" w:sz="4" w:space="0" w:color="C9D2E0"/>
              <w:left w:val="single" w:sz="4" w:space="0" w:color="C9D2E0"/>
              <w:bottom w:val="single" w:sz="4" w:space="0" w:color="C9D2E0"/>
              <w:right w:val="single" w:sz="4" w:space="0" w:color="C9D2E0"/>
            </w:tcBorders>
            <w:tcMar>
              <w:top w:w="80" w:type="dxa"/>
              <w:left w:w="120" w:type="dxa"/>
              <w:bottom w:w="80" w:type="dxa"/>
              <w:right w:w="120" w:type="dxa"/>
            </w:tcMar>
          </w:tcPr>
          <w:p w:rsidR="00CB3630" w:rsidRDefault="008761EB">
            <w:proofErr w:type="spellStart"/>
            <w:r>
              <w:rPr>
                <w:b/>
                <w:bCs/>
              </w:rPr>
              <w:t>xLoop</w:t>
            </w:r>
            <w:proofErr w:type="spellEnd"/>
            <w:r>
              <w:rPr>
                <w:b/>
                <w:bCs/>
              </w:rPr>
              <w:t xml:space="preserve"> Digital's cybersecurity services: VAPT, cloud and application security, SOC services, and OT security for SCADA and plant networks.</w:t>
            </w:r>
          </w:p>
        </w:tc>
      </w:tr>
      <w:tr w:rsidR="00CB3630">
        <w:tblPrEx>
          <w:tblCellMar>
            <w:top w:w="0" w:type="dxa"/>
            <w:bottom w:w="0" w:type="dxa"/>
          </w:tblCellMar>
        </w:tblPrEx>
        <w:trPr>
          <w:cantSplit/>
        </w:trPr>
        <w:tc>
          <w:tcPr>
            <w:tcW w:w="2000" w:type="dxa"/>
            <w:tcBorders>
              <w:top w:val="single" w:sz="4" w:space="0" w:color="C9D2E0"/>
              <w:left w:val="single" w:sz="4" w:space="0" w:color="C9D2E0"/>
              <w:bottom w:val="single" w:sz="4" w:space="0" w:color="C9D2E0"/>
              <w:right w:val="single" w:sz="4" w:space="0" w:color="C9D2E0"/>
            </w:tcBorders>
            <w:tcMar>
              <w:top w:w="80" w:type="dxa"/>
              <w:left w:w="120" w:type="dxa"/>
              <w:bottom w:w="80" w:type="dxa"/>
              <w:right w:w="120" w:type="dxa"/>
            </w:tcMar>
          </w:tcPr>
          <w:p w:rsidR="00CB3630" w:rsidRDefault="008761EB">
            <w:r>
              <w:t>Hero rotating word</w:t>
            </w:r>
          </w:p>
        </w:tc>
        <w:tc>
          <w:tcPr>
            <w:tcW w:w="3400" w:type="dxa"/>
            <w:tcBorders>
              <w:top w:val="single" w:sz="4" w:space="0" w:color="C9D2E0"/>
              <w:left w:val="single" w:sz="4" w:space="0" w:color="C9D2E0"/>
              <w:bottom w:val="single" w:sz="4" w:space="0" w:color="C9D2E0"/>
              <w:right w:val="single" w:sz="4" w:space="0" w:color="C9D2E0"/>
            </w:tcBorders>
            <w:tcMar>
              <w:top w:w="80" w:type="dxa"/>
              <w:left w:w="120" w:type="dxa"/>
              <w:bottom w:w="80" w:type="dxa"/>
              <w:right w:w="120" w:type="dxa"/>
            </w:tcMar>
          </w:tcPr>
          <w:p w:rsidR="00CB3630" w:rsidRDefault="008761EB">
            <w:r>
              <w:t>Prompt Injection T</w:t>
            </w:r>
            <w:r>
              <w:t>esting</w:t>
            </w:r>
          </w:p>
        </w:tc>
        <w:tc>
          <w:tcPr>
            <w:tcW w:w="3626" w:type="dxa"/>
            <w:tcBorders>
              <w:top w:val="single" w:sz="4" w:space="0" w:color="C9D2E0"/>
              <w:left w:val="single" w:sz="4" w:space="0" w:color="C9D2E0"/>
              <w:bottom w:val="single" w:sz="4" w:space="0" w:color="C9D2E0"/>
              <w:right w:val="single" w:sz="4" w:space="0" w:color="C9D2E0"/>
            </w:tcBorders>
            <w:tcMar>
              <w:top w:w="80" w:type="dxa"/>
              <w:left w:w="120" w:type="dxa"/>
              <w:bottom w:w="80" w:type="dxa"/>
              <w:right w:w="120" w:type="dxa"/>
            </w:tcMar>
          </w:tcPr>
          <w:p w:rsidR="00CB3630" w:rsidRDefault="008761EB">
            <w:r>
              <w:t>Penetration Testing / OT Security (prompt injection belongs to AI Security)</w:t>
            </w:r>
          </w:p>
        </w:tc>
      </w:tr>
      <w:tr w:rsidR="00CB3630">
        <w:tblPrEx>
          <w:tblCellMar>
            <w:top w:w="0" w:type="dxa"/>
            <w:bottom w:w="0" w:type="dxa"/>
          </w:tblCellMar>
        </w:tblPrEx>
        <w:trPr>
          <w:cantSplit/>
        </w:trPr>
        <w:tc>
          <w:tcPr>
            <w:tcW w:w="2000" w:type="dxa"/>
            <w:tcBorders>
              <w:top w:val="single" w:sz="4" w:space="0" w:color="C9D2E0"/>
              <w:left w:val="single" w:sz="4" w:space="0" w:color="C9D2E0"/>
              <w:bottom w:val="single" w:sz="4" w:space="0" w:color="C9D2E0"/>
              <w:right w:val="single" w:sz="4" w:space="0" w:color="C9D2E0"/>
            </w:tcBorders>
            <w:tcMar>
              <w:top w:w="80" w:type="dxa"/>
              <w:left w:w="120" w:type="dxa"/>
              <w:bottom w:w="80" w:type="dxa"/>
              <w:right w:w="120" w:type="dxa"/>
            </w:tcMar>
          </w:tcPr>
          <w:p w:rsidR="00CB3630" w:rsidRDefault="008761EB">
            <w:r>
              <w:t>H1</w:t>
            </w:r>
          </w:p>
        </w:tc>
        <w:tc>
          <w:tcPr>
            <w:tcW w:w="3400" w:type="dxa"/>
            <w:tcBorders>
              <w:top w:val="single" w:sz="4" w:space="0" w:color="C9D2E0"/>
              <w:left w:val="single" w:sz="4" w:space="0" w:color="C9D2E0"/>
              <w:bottom w:val="single" w:sz="4" w:space="0" w:color="C9D2E0"/>
              <w:right w:val="single" w:sz="4" w:space="0" w:color="C9D2E0"/>
            </w:tcBorders>
            <w:tcMar>
              <w:top w:w="80" w:type="dxa"/>
              <w:left w:w="120" w:type="dxa"/>
              <w:bottom w:w="80" w:type="dxa"/>
              <w:right w:w="120" w:type="dxa"/>
            </w:tcMar>
          </w:tcPr>
          <w:p w:rsidR="00CB3630" w:rsidRDefault="008761EB">
            <w:r>
              <w:t>Empty in the HTML; several H1s on the page</w:t>
            </w:r>
          </w:p>
        </w:tc>
        <w:tc>
          <w:tcPr>
            <w:tcW w:w="3626" w:type="dxa"/>
            <w:tcBorders>
              <w:top w:val="single" w:sz="4" w:space="0" w:color="C9D2E0"/>
              <w:left w:val="single" w:sz="4" w:space="0" w:color="C9D2E0"/>
              <w:bottom w:val="single" w:sz="4" w:space="0" w:color="C9D2E0"/>
              <w:right w:val="single" w:sz="4" w:space="0" w:color="C9D2E0"/>
            </w:tcBorders>
            <w:tcMar>
              <w:top w:w="80" w:type="dxa"/>
              <w:left w:w="120" w:type="dxa"/>
              <w:bottom w:w="80" w:type="dxa"/>
              <w:right w:w="120" w:type="dxa"/>
            </w:tcMar>
          </w:tcPr>
          <w:p w:rsidR="00CB3630" w:rsidRDefault="008761EB">
            <w:r>
              <w:t xml:space="preserve">One H1: </w:t>
            </w:r>
            <w:r>
              <w:rPr>
                <w:b/>
                <w:bCs/>
              </w:rPr>
              <w:t>Cybersecurity Services</w:t>
            </w:r>
            <w:r>
              <w:t>. Section titles become H2</w:t>
            </w:r>
          </w:p>
        </w:tc>
      </w:tr>
      <w:tr w:rsidR="00CB3630">
        <w:tblPrEx>
          <w:tblCellMar>
            <w:top w:w="0" w:type="dxa"/>
            <w:bottom w:w="0" w:type="dxa"/>
          </w:tblCellMar>
        </w:tblPrEx>
        <w:trPr>
          <w:cantSplit/>
        </w:trPr>
        <w:tc>
          <w:tcPr>
            <w:tcW w:w="2000" w:type="dxa"/>
            <w:tcBorders>
              <w:top w:val="single" w:sz="4" w:space="0" w:color="C9D2E0"/>
              <w:left w:val="single" w:sz="4" w:space="0" w:color="C9D2E0"/>
              <w:bottom w:val="single" w:sz="4" w:space="0" w:color="C9D2E0"/>
              <w:right w:val="single" w:sz="4" w:space="0" w:color="C9D2E0"/>
            </w:tcBorders>
            <w:tcMar>
              <w:top w:w="80" w:type="dxa"/>
              <w:left w:w="120" w:type="dxa"/>
              <w:bottom w:w="80" w:type="dxa"/>
              <w:right w:w="120" w:type="dxa"/>
            </w:tcMar>
          </w:tcPr>
          <w:p w:rsidR="00CB3630" w:rsidRDefault="008761EB">
            <w:r>
              <w:t>Industry cards</w:t>
            </w:r>
          </w:p>
        </w:tc>
        <w:tc>
          <w:tcPr>
            <w:tcW w:w="3400" w:type="dxa"/>
            <w:tcBorders>
              <w:top w:val="single" w:sz="4" w:space="0" w:color="C9D2E0"/>
              <w:left w:val="single" w:sz="4" w:space="0" w:color="C9D2E0"/>
              <w:bottom w:val="single" w:sz="4" w:space="0" w:color="C9D2E0"/>
              <w:right w:val="single" w:sz="4" w:space="0" w:color="C9D2E0"/>
            </w:tcBorders>
            <w:tcMar>
              <w:top w:w="80" w:type="dxa"/>
              <w:left w:w="120" w:type="dxa"/>
              <w:bottom w:w="80" w:type="dxa"/>
              <w:right w:w="120" w:type="dxa"/>
            </w:tcMar>
          </w:tcPr>
          <w:p w:rsidR="00CB3630" w:rsidRDefault="008761EB">
            <w:r>
              <w:t>Telecom, Banking, Oil &amp; Gas copied word for word from</w:t>
            </w:r>
            <w:r>
              <w:t xml:space="preserve"> the AI Security page, all about AI</w:t>
            </w:r>
          </w:p>
        </w:tc>
        <w:tc>
          <w:tcPr>
            <w:tcW w:w="3626" w:type="dxa"/>
            <w:tcBorders>
              <w:top w:val="single" w:sz="4" w:space="0" w:color="C9D2E0"/>
              <w:left w:val="single" w:sz="4" w:space="0" w:color="C9D2E0"/>
              <w:bottom w:val="single" w:sz="4" w:space="0" w:color="C9D2E0"/>
              <w:right w:val="single" w:sz="4" w:space="0" w:color="C9D2E0"/>
            </w:tcBorders>
            <w:tcMar>
              <w:top w:w="80" w:type="dxa"/>
              <w:left w:w="120" w:type="dxa"/>
              <w:bottom w:w="80" w:type="dxa"/>
              <w:right w:w="120" w:type="dxa"/>
            </w:tcMar>
          </w:tcPr>
          <w:p w:rsidR="00CB3630" w:rsidRDefault="008761EB">
            <w:r>
              <w:t>Rewrite for general cyber, or remove. Replace Oil &amp; Gas with the Power &amp; Energy card below</w:t>
            </w:r>
          </w:p>
        </w:tc>
      </w:tr>
    </w:tbl>
    <w:p w:rsidR="00CB3630" w:rsidRDefault="00CB3630">
      <w:pPr>
        <w:spacing w:after="120"/>
      </w:pPr>
    </w:p>
    <w:p w:rsidR="00CB3630" w:rsidRDefault="008761EB">
      <w:pPr>
        <w:keepNext/>
        <w:spacing w:before="200" w:after="40"/>
      </w:pPr>
      <w:r>
        <w:rPr>
          <w:b/>
          <w:bCs/>
          <w:color w:val="1E5BFF"/>
          <w:spacing w:val="20"/>
          <w:sz w:val="17"/>
          <w:szCs w:val="17"/>
        </w:rPr>
        <w:t>NEW SERVICE CARD: ADDS A 7TH CARD TO THE SERVICES GRID</w:t>
      </w:r>
    </w:p>
    <w:p w:rsidR="00CB3630" w:rsidRDefault="008761EB">
      <w:pPr>
        <w:pBdr>
          <w:left w:val="single" w:sz="18" w:space="8" w:color="1E5BFF"/>
        </w:pBdr>
        <w:shd w:val="clear" w:color="auto" w:fill="EEF3FF"/>
        <w:spacing w:before="120" w:after="60"/>
        <w:ind w:left="240" w:right="240"/>
      </w:pPr>
      <w:r>
        <w:rPr>
          <w:b/>
          <w:bCs/>
        </w:rPr>
        <w:t>OT &amp; SCADA Security</w:t>
      </w:r>
    </w:p>
    <w:p w:rsidR="00CB3630" w:rsidRDefault="008761EB">
      <w:pPr>
        <w:pBdr>
          <w:left w:val="single" w:sz="18" w:space="8" w:color="1E5BFF"/>
        </w:pBdr>
        <w:shd w:val="clear" w:color="auto" w:fill="EEF3FF"/>
        <w:spacing w:after="60"/>
        <w:ind w:left="240" w:right="240"/>
      </w:pPr>
      <w:r>
        <w:t>Security assessment for operational technology: SCADA, DCS, PLCs, RTUs, and the links between the plant and the corporate network. We assess OT passively, so plant availability is never put at risk, and we map findings to the regulations you report against</w:t>
      </w:r>
      <w:r>
        <w:t>.</w:t>
      </w:r>
    </w:p>
    <w:p w:rsidR="00CB3630" w:rsidRDefault="008761EB">
      <w:pPr>
        <w:pBdr>
          <w:left w:val="single" w:sz="18" w:space="8" w:color="1E5BFF"/>
        </w:pBdr>
        <w:shd w:val="clear" w:color="auto" w:fill="EEF3FF"/>
        <w:spacing w:after="200"/>
        <w:ind w:left="240" w:right="240"/>
      </w:pPr>
      <w:r>
        <w:rPr>
          <w:b/>
          <w:bCs/>
        </w:rPr>
        <w:t xml:space="preserve">Power sector in Pakistan? See NEPRA IT/OT compliance </w:t>
      </w:r>
      <w:proofErr w:type="gramStart"/>
      <w:r>
        <w:rPr>
          <w:b/>
          <w:bCs/>
        </w:rPr>
        <w:t>→</w:t>
      </w:r>
      <w:r>
        <w:t xml:space="preserve">  links</w:t>
      </w:r>
      <w:proofErr w:type="gramEnd"/>
      <w:r>
        <w:t xml:space="preserve"> to </w:t>
      </w:r>
      <w:r>
        <w:rPr>
          <w:rFonts w:ascii="Consolas" w:eastAsia="Consolas" w:hAnsi="Consolas" w:cs="Consolas"/>
          <w:color w:val="0B1F3A"/>
          <w:sz w:val="19"/>
          <w:szCs w:val="19"/>
        </w:rPr>
        <w:t>/services/</w:t>
      </w:r>
      <w:proofErr w:type="spellStart"/>
      <w:r>
        <w:rPr>
          <w:rFonts w:ascii="Consolas" w:eastAsia="Consolas" w:hAnsi="Consolas" w:cs="Consolas"/>
          <w:color w:val="0B1F3A"/>
          <w:sz w:val="19"/>
          <w:szCs w:val="19"/>
        </w:rPr>
        <w:t>nepra</w:t>
      </w:r>
      <w:proofErr w:type="spellEnd"/>
    </w:p>
    <w:p w:rsidR="00CB3630" w:rsidRDefault="008761EB">
      <w:pPr>
        <w:keepNext/>
        <w:spacing w:before="200" w:after="40"/>
      </w:pPr>
      <w:r>
        <w:rPr>
          <w:b/>
          <w:bCs/>
          <w:color w:val="1E5BFF"/>
          <w:spacing w:val="20"/>
          <w:sz w:val="17"/>
          <w:szCs w:val="17"/>
        </w:rPr>
        <w:lastRenderedPageBreak/>
        <w:t>INDUSTRY CARD: POWER &amp; ENERGY (REPLACES THE COPIED OIL &amp; GAS CARD)</w:t>
      </w:r>
    </w:p>
    <w:p w:rsidR="00CB3630" w:rsidRDefault="008761EB">
      <w:pPr>
        <w:pBdr>
          <w:left w:val="single" w:sz="18" w:space="8" w:color="1E5BFF"/>
        </w:pBdr>
        <w:shd w:val="clear" w:color="auto" w:fill="EEF3FF"/>
        <w:spacing w:before="120" w:after="60"/>
        <w:ind w:left="240" w:right="240"/>
      </w:pPr>
      <w:r>
        <w:rPr>
          <w:b/>
          <w:bCs/>
        </w:rPr>
        <w:t>Power &amp; Energy</w:t>
      </w:r>
    </w:p>
    <w:p w:rsidR="00CB3630" w:rsidRDefault="008761EB">
      <w:pPr>
        <w:pBdr>
          <w:left w:val="single" w:sz="18" w:space="8" w:color="1E5BFF"/>
        </w:pBdr>
        <w:shd w:val="clear" w:color="auto" w:fill="EEF3FF"/>
        <w:spacing w:after="60"/>
        <w:ind w:left="240" w:right="240"/>
      </w:pPr>
      <w:r>
        <w:t>Power producers and utilities run IT and OT side by side. We assess both, from the corporate network to SCADA and plant controllers, and align the work to NEPRA's IT/OT Regulations, 2022.</w:t>
      </w:r>
    </w:p>
    <w:p w:rsidR="00CB3630" w:rsidRDefault="008761EB">
      <w:pPr>
        <w:pBdr>
          <w:left w:val="single" w:sz="18" w:space="8" w:color="1E5BFF"/>
        </w:pBdr>
        <w:shd w:val="clear" w:color="auto" w:fill="EEF3FF"/>
        <w:spacing w:after="200"/>
        <w:ind w:left="240" w:right="240"/>
      </w:pPr>
      <w:r>
        <w:rPr>
          <w:b/>
          <w:bCs/>
        </w:rPr>
        <w:t xml:space="preserve">NEPRA IT/OT compliance </w:t>
      </w:r>
      <w:proofErr w:type="gramStart"/>
      <w:r>
        <w:rPr>
          <w:b/>
          <w:bCs/>
        </w:rPr>
        <w:t>→</w:t>
      </w:r>
      <w:r>
        <w:t xml:space="preserve">  links</w:t>
      </w:r>
      <w:proofErr w:type="gramEnd"/>
      <w:r>
        <w:t xml:space="preserve"> to </w:t>
      </w:r>
      <w:r>
        <w:rPr>
          <w:rFonts w:ascii="Consolas" w:eastAsia="Consolas" w:hAnsi="Consolas" w:cs="Consolas"/>
          <w:color w:val="0B1F3A"/>
          <w:sz w:val="19"/>
          <w:szCs w:val="19"/>
        </w:rPr>
        <w:t>/services/</w:t>
      </w:r>
      <w:proofErr w:type="spellStart"/>
      <w:r>
        <w:rPr>
          <w:rFonts w:ascii="Consolas" w:eastAsia="Consolas" w:hAnsi="Consolas" w:cs="Consolas"/>
          <w:color w:val="0B1F3A"/>
          <w:sz w:val="19"/>
          <w:szCs w:val="19"/>
        </w:rPr>
        <w:t>nepra</w:t>
      </w:r>
      <w:proofErr w:type="spellEnd"/>
    </w:p>
    <w:p w:rsidR="00CB3630" w:rsidRDefault="008761EB">
      <w:pPr>
        <w:pStyle w:val="Heading1"/>
      </w:pPr>
      <w:r>
        <w:t>4. NEPRA page fix</w:t>
      </w:r>
      <w:r>
        <w:t>es, needed before the nav link goes live</w:t>
      </w:r>
    </w:p>
    <w:p w:rsidR="00CB3630" w:rsidRDefault="008761EB">
      <w:pPr>
        <w:spacing w:after="120"/>
      </w:pPr>
      <w:r>
        <w:t>A nav link gives the page more weight and sends more traffic to it, so the errors below will be seen more often.</w:t>
      </w:r>
    </w:p>
    <w:p w:rsidR="00CB3630" w:rsidRDefault="008761EB">
      <w:pPr>
        <w:pStyle w:val="ListParagraph"/>
        <w:numPr>
          <w:ilvl w:val="0"/>
          <w:numId w:val="3"/>
        </w:numPr>
        <w:spacing w:after="80"/>
      </w:pPr>
      <w:r>
        <w:rPr>
          <w:b/>
          <w:bCs/>
        </w:rPr>
        <w:t>US spelling.</w:t>
      </w:r>
      <w:r>
        <w:t xml:space="preserve"> 11 British forms are live: </w:t>
      </w:r>
      <w:proofErr w:type="spellStart"/>
      <w:r>
        <w:t>organisation</w:t>
      </w:r>
      <w:proofErr w:type="spellEnd"/>
      <w:r>
        <w:t xml:space="preserve"> ×3, </w:t>
      </w:r>
      <w:proofErr w:type="spellStart"/>
      <w:r>
        <w:t>programme</w:t>
      </w:r>
      <w:proofErr w:type="spellEnd"/>
      <w:r>
        <w:t xml:space="preserve">(s) ×3, </w:t>
      </w:r>
      <w:proofErr w:type="spellStart"/>
      <w:r>
        <w:t>organised</w:t>
      </w:r>
      <w:proofErr w:type="spellEnd"/>
      <w:r>
        <w:t xml:space="preserve"> ×2, </w:t>
      </w:r>
      <w:proofErr w:type="spellStart"/>
      <w:r>
        <w:t>prioritised</w:t>
      </w:r>
      <w:proofErr w:type="spellEnd"/>
      <w:r>
        <w:t xml:space="preserve"> ×2, </w:t>
      </w:r>
      <w:proofErr w:type="spellStart"/>
      <w:r>
        <w:t>licence</w:t>
      </w:r>
      <w:proofErr w:type="spellEnd"/>
      <w:r>
        <w:t>. Keep "</w:t>
      </w:r>
      <w:proofErr w:type="spellStart"/>
      <w:r>
        <w:t>licence</w:t>
      </w:r>
      <w:proofErr w:type="spellEnd"/>
      <w:r>
        <w:t>" only where it quotes NEPRA's official term.</w:t>
      </w:r>
    </w:p>
    <w:p w:rsidR="00CB3630" w:rsidRDefault="008761EB">
      <w:pPr>
        <w:pStyle w:val="ListParagraph"/>
        <w:numPr>
          <w:ilvl w:val="0"/>
          <w:numId w:val="3"/>
        </w:numPr>
        <w:spacing w:after="80"/>
      </w:pPr>
      <w:r>
        <w:rPr>
          <w:b/>
          <w:bCs/>
        </w:rPr>
        <w:t>Full citation once, in the first section:</w:t>
      </w:r>
      <w:r>
        <w:t xml:space="preserve"> NEPRA (Security of Information Technology and Operational Technology) Regulations, 2022 (SRO 1708(I)/2022).</w:t>
      </w:r>
    </w:p>
    <w:p w:rsidR="00CB3630" w:rsidRDefault="008761EB">
      <w:pPr>
        <w:pStyle w:val="ListParagraph"/>
        <w:numPr>
          <w:ilvl w:val="0"/>
          <w:numId w:val="3"/>
        </w:numPr>
        <w:spacing w:after="80"/>
      </w:pPr>
      <w:r>
        <w:rPr>
          <w:b/>
          <w:bCs/>
        </w:rPr>
        <w:t>Schema.</w:t>
      </w:r>
      <w:r>
        <w:t xml:space="preserve"> Only Organization + </w:t>
      </w:r>
      <w:proofErr w:type="spellStart"/>
      <w:r>
        <w:t>WebSite</w:t>
      </w:r>
      <w:proofErr w:type="spellEnd"/>
      <w:r>
        <w:t xml:space="preserve"> are live. Ship the Service + </w:t>
      </w:r>
      <w:proofErr w:type="spellStart"/>
      <w:r>
        <w:t>FAQPage</w:t>
      </w:r>
      <w:proofErr w:type="spellEnd"/>
      <w:r>
        <w:t xml:space="preserve"> + </w:t>
      </w:r>
      <w:proofErr w:type="spellStart"/>
      <w:r>
        <w:t>BreadcrumbList</w:t>
      </w:r>
      <w:proofErr w:type="spellEnd"/>
      <w:r>
        <w:t xml:space="preserve"> JSON-LD from the August FINAL content doc. Breadcrumb: Home › </w:t>
      </w:r>
      <w:proofErr w:type="spellStart"/>
      <w:r>
        <w:t>xSecurity</w:t>
      </w:r>
      <w:proofErr w:type="spellEnd"/>
      <w:r>
        <w:t xml:space="preserve"> › NEPRA IT/OT Compliance.</w:t>
      </w:r>
    </w:p>
    <w:p w:rsidR="00CB3630" w:rsidRDefault="008761EB">
      <w:pPr>
        <w:pStyle w:val="ListParagraph"/>
        <w:numPr>
          <w:ilvl w:val="0"/>
          <w:numId w:val="3"/>
        </w:numPr>
        <w:spacing w:after="80"/>
      </w:pPr>
      <w:r>
        <w:rPr>
          <w:b/>
          <w:bCs/>
        </w:rPr>
        <w:t>H1 is empty in the server HTML.</w:t>
      </w:r>
      <w:r>
        <w:t xml:space="preserve"> It's filled in by an animation, so c</w:t>
      </w:r>
      <w:r>
        <w:t>rawlers and AI agents that don't run JavaScript see no H1. Render the text in the HTML and animate it visually only. This is sitewide: every service page has the same issue.</w:t>
      </w:r>
    </w:p>
    <w:p w:rsidR="00CB3630" w:rsidRDefault="008761EB">
      <w:pPr>
        <w:pStyle w:val="Heading1"/>
      </w:pPr>
      <w:r>
        <w:t>5. Internal links + AI-agent visibility</w:t>
      </w:r>
    </w:p>
    <w:p w:rsidR="00CB3630" w:rsidRDefault="008761EB">
      <w:pPr>
        <w:spacing w:after="120"/>
      </w:pPr>
      <w:r>
        <w:t>Today the NEPRA page's only inbound links are the homepage ribbon and the sitemap.</w:t>
      </w:r>
    </w:p>
    <w:p w:rsidR="00CB3630" w:rsidRDefault="008761EB">
      <w:pPr>
        <w:pStyle w:val="ListParagraph"/>
        <w:numPr>
          <w:ilvl w:val="0"/>
          <w:numId w:val="3"/>
        </w:numPr>
        <w:spacing w:after="80"/>
      </w:pPr>
      <w:r>
        <w:t>Mega menu item (section 1). This is the sitewide link.</w:t>
      </w:r>
    </w:p>
    <w:p w:rsidR="00CB3630" w:rsidRDefault="008761EB">
      <w:pPr>
        <w:pStyle w:val="ListParagraph"/>
        <w:numPr>
          <w:ilvl w:val="0"/>
          <w:numId w:val="3"/>
        </w:numPr>
        <w:spacing w:after="80"/>
      </w:pPr>
      <w:r>
        <w:t>Cybersecurity page: the OT card + the Power &amp; Energy card (section 3).</w:t>
      </w:r>
    </w:p>
    <w:p w:rsidR="00CB3630" w:rsidRDefault="008761EB">
      <w:pPr>
        <w:pStyle w:val="ListParagraph"/>
        <w:numPr>
          <w:ilvl w:val="0"/>
          <w:numId w:val="3"/>
        </w:numPr>
        <w:spacing w:after="80"/>
      </w:pPr>
      <w:r>
        <w:t>Energy &amp; Utilities page: in the "Cybersecurity &amp; Grid Resilience" and "Regulatory Compliance &amp; Sustainability" cards, add "NEPRA IT/OT compliance →".</w:t>
      </w:r>
    </w:p>
    <w:p w:rsidR="00CB3630" w:rsidRDefault="008761EB">
      <w:pPr>
        <w:pStyle w:val="ListParagraph"/>
        <w:numPr>
          <w:ilvl w:val="0"/>
          <w:numId w:val="3"/>
        </w:numPr>
        <w:spacing w:after="80"/>
      </w:pPr>
      <w:r>
        <w:t xml:space="preserve">A "Related </w:t>
      </w:r>
      <w:proofErr w:type="spellStart"/>
      <w:r>
        <w:t>xSecurity</w:t>
      </w:r>
      <w:proofErr w:type="spellEnd"/>
      <w:r>
        <w:t xml:space="preserve"> services" stri</w:t>
      </w:r>
      <w:r>
        <w:t xml:space="preserve">p at the bottom of all three </w:t>
      </w:r>
      <w:proofErr w:type="spellStart"/>
      <w:r>
        <w:t>xSecurity</w:t>
      </w:r>
      <w:proofErr w:type="spellEnd"/>
      <w:r>
        <w:t xml:space="preserve"> pages, linking the other two.</w:t>
      </w:r>
    </w:p>
    <w:p w:rsidR="00CB3630" w:rsidRDefault="008761EB">
      <w:pPr>
        <w:pStyle w:val="ListParagraph"/>
        <w:numPr>
          <w:ilvl w:val="0"/>
          <w:numId w:val="3"/>
        </w:numPr>
        <w:spacing w:after="80"/>
      </w:pPr>
      <w:r>
        <w:t xml:space="preserve">Footer </w:t>
      </w:r>
      <w:proofErr w:type="spellStart"/>
      <w:r>
        <w:t>xSecurity</w:t>
      </w:r>
      <w:proofErr w:type="spellEnd"/>
      <w:r>
        <w:t xml:space="preserve"> column: add NEPRA IT/OT Compliance.</w:t>
      </w:r>
    </w:p>
    <w:p w:rsidR="00CB3630" w:rsidRDefault="008761EB">
      <w:pPr>
        <w:pStyle w:val="ListParagraph"/>
        <w:numPr>
          <w:ilvl w:val="0"/>
          <w:numId w:val="3"/>
        </w:numPr>
        <w:spacing w:after="80"/>
      </w:pPr>
      <w:r>
        <w:rPr>
          <w:b/>
          <w:bCs/>
        </w:rPr>
        <w:t>/llms.txt:</w:t>
      </w:r>
      <w:r>
        <w:t xml:space="preserve"> NEPRA is missing. Add the line below under services, and update the Cyber Security line.</w:t>
      </w:r>
    </w:p>
    <w:p w:rsidR="00CB3630" w:rsidRDefault="008761EB">
      <w:pPr>
        <w:pBdr>
          <w:left w:val="single" w:sz="18" w:space="8" w:color="1E5BFF"/>
        </w:pBdr>
        <w:shd w:val="clear" w:color="auto" w:fill="EEF3FF"/>
        <w:spacing w:before="120" w:after="60"/>
        <w:ind w:left="240" w:right="240"/>
      </w:pPr>
      <w:r>
        <w:rPr>
          <w:rFonts w:ascii="Consolas" w:eastAsia="Consolas" w:hAnsi="Consolas" w:cs="Consolas"/>
          <w:color w:val="0B1F3A"/>
          <w:sz w:val="19"/>
          <w:szCs w:val="19"/>
        </w:rPr>
        <w:t xml:space="preserve">- [NEPRA IT/OT </w:t>
      </w:r>
      <w:proofErr w:type="gramStart"/>
      <w:r>
        <w:rPr>
          <w:rFonts w:ascii="Consolas" w:eastAsia="Consolas" w:hAnsi="Consolas" w:cs="Consolas"/>
          <w:color w:val="0B1F3A"/>
          <w:sz w:val="19"/>
          <w:szCs w:val="19"/>
        </w:rPr>
        <w:t>Compliance](</w:t>
      </w:r>
      <w:proofErr w:type="gramEnd"/>
      <w:r>
        <w:rPr>
          <w:rFonts w:ascii="Consolas" w:eastAsia="Consolas" w:hAnsi="Consolas" w:cs="Consolas"/>
          <w:color w:val="0B1F3A"/>
          <w:sz w:val="19"/>
          <w:szCs w:val="19"/>
        </w:rPr>
        <w:t>https:/</w:t>
      </w:r>
      <w:r>
        <w:rPr>
          <w:rFonts w:ascii="Consolas" w:eastAsia="Consolas" w:hAnsi="Consolas" w:cs="Consolas"/>
          <w:color w:val="0B1F3A"/>
          <w:sz w:val="19"/>
          <w:szCs w:val="19"/>
        </w:rPr>
        <w:t>/www.xloopdigital.com/services/nepra): Compliance audits, IT/OT VAPT, policy frameworks and training for Pakistan's power sector under the NEPRA IT/OT Regulations, 2022</w:t>
      </w:r>
    </w:p>
    <w:p w:rsidR="00CB3630" w:rsidRDefault="008761EB">
      <w:pPr>
        <w:pBdr>
          <w:left w:val="single" w:sz="18" w:space="8" w:color="1E5BFF"/>
        </w:pBdr>
        <w:shd w:val="clear" w:color="auto" w:fill="EEF3FF"/>
        <w:spacing w:after="200"/>
        <w:ind w:left="240" w:right="240"/>
      </w:pPr>
      <w:r>
        <w:rPr>
          <w:rFonts w:ascii="Consolas" w:eastAsia="Consolas" w:hAnsi="Consolas" w:cs="Consolas"/>
          <w:color w:val="0B1F3A"/>
          <w:sz w:val="19"/>
          <w:szCs w:val="19"/>
        </w:rPr>
        <w:t xml:space="preserve">- [Cybersecurity </w:t>
      </w:r>
      <w:proofErr w:type="gramStart"/>
      <w:r>
        <w:rPr>
          <w:rFonts w:ascii="Consolas" w:eastAsia="Consolas" w:hAnsi="Consolas" w:cs="Consolas"/>
          <w:color w:val="0B1F3A"/>
          <w:sz w:val="19"/>
          <w:szCs w:val="19"/>
        </w:rPr>
        <w:t>Services](</w:t>
      </w:r>
      <w:proofErr w:type="gramEnd"/>
      <w:r>
        <w:rPr>
          <w:rFonts w:ascii="Consolas" w:eastAsia="Consolas" w:hAnsi="Consolas" w:cs="Consolas"/>
          <w:color w:val="0B1F3A"/>
          <w:sz w:val="19"/>
          <w:szCs w:val="19"/>
        </w:rPr>
        <w:t>https://www.xloopdigital.com/services/cyber-security-service</w:t>
      </w:r>
      <w:r>
        <w:rPr>
          <w:rFonts w:ascii="Consolas" w:eastAsia="Consolas" w:hAnsi="Consolas" w:cs="Consolas"/>
          <w:color w:val="0B1F3A"/>
          <w:sz w:val="19"/>
          <w:szCs w:val="19"/>
        </w:rPr>
        <w:t xml:space="preserve">): </w:t>
      </w:r>
      <w:proofErr w:type="spellStart"/>
      <w:r>
        <w:rPr>
          <w:rFonts w:ascii="Consolas" w:eastAsia="Consolas" w:hAnsi="Consolas" w:cs="Consolas"/>
          <w:color w:val="0B1F3A"/>
          <w:sz w:val="19"/>
          <w:szCs w:val="19"/>
        </w:rPr>
        <w:t>Cybersecurity</w:t>
      </w:r>
      <w:proofErr w:type="spellEnd"/>
      <w:r>
        <w:rPr>
          <w:rFonts w:ascii="Consolas" w:eastAsia="Consolas" w:hAnsi="Consolas" w:cs="Consolas"/>
          <w:color w:val="0B1F3A"/>
          <w:sz w:val="19"/>
          <w:szCs w:val="19"/>
        </w:rPr>
        <w:t xml:space="preserve"> services: VAPT, cloud and application security, SOC, and OT/SCADA security</w:t>
      </w:r>
    </w:p>
    <w:p w:rsidR="00CB3630" w:rsidRDefault="008761EB">
      <w:pPr>
        <w:pStyle w:val="ListParagraph"/>
        <w:numPr>
          <w:ilvl w:val="0"/>
          <w:numId w:val="3"/>
        </w:numPr>
        <w:spacing w:after="80"/>
      </w:pPr>
      <w:r>
        <w:t xml:space="preserve">Sitewide: fix the doubled title suffix ("| </w:t>
      </w:r>
      <w:proofErr w:type="spellStart"/>
      <w:r>
        <w:t>xLoop</w:t>
      </w:r>
      <w:proofErr w:type="spellEnd"/>
      <w:r>
        <w:t xml:space="preserve"> Digital | </w:t>
      </w:r>
      <w:proofErr w:type="spellStart"/>
      <w:r>
        <w:t>xLoop</w:t>
      </w:r>
      <w:proofErr w:type="spellEnd"/>
      <w:r>
        <w:t xml:space="preserve"> Digital").</w:t>
      </w:r>
    </w:p>
    <w:p w:rsidR="00CB3630" w:rsidRDefault="00CB3630" w:rsidP="006B7311">
      <w:pPr>
        <w:pStyle w:val="ListParagraph"/>
        <w:spacing w:after="80"/>
        <w:ind w:left="360"/>
      </w:pPr>
      <w:bookmarkStart w:id="0" w:name="_GoBack"/>
      <w:bookmarkEnd w:id="0"/>
    </w:p>
    <w:sectPr w:rsidR="00CB3630">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761EB" w:rsidRDefault="008761EB">
      <w:r>
        <w:separator/>
      </w:r>
    </w:p>
  </w:endnote>
  <w:endnote w:type="continuationSeparator" w:id="0">
    <w:p w:rsidR="008761EB" w:rsidRDefault="008761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B3630" w:rsidRDefault="008761EB">
    <w:pPr>
      <w:jc w:val="right"/>
    </w:pPr>
    <w:proofErr w:type="spellStart"/>
    <w:r>
      <w:rPr>
        <w:color w:val="5A6472"/>
        <w:sz w:val="16"/>
        <w:szCs w:val="16"/>
      </w:rPr>
      <w:t>xSecurity</w:t>
    </w:r>
    <w:proofErr w:type="spellEnd"/>
    <w:r>
      <w:rPr>
        <w:color w:val="5A6472"/>
        <w:sz w:val="16"/>
        <w:szCs w:val="16"/>
      </w:rPr>
      <w:t xml:space="preserve"> nav + NEPRA / OT </w:t>
    </w:r>
    <w:proofErr w:type="gramStart"/>
    <w:r>
      <w:rPr>
        <w:color w:val="5A6472"/>
        <w:sz w:val="16"/>
        <w:szCs w:val="16"/>
      </w:rPr>
      <w:t>brief  ·</w:t>
    </w:r>
    <w:proofErr w:type="gramEnd"/>
    <w:r>
      <w:rPr>
        <w:color w:val="5A6472"/>
        <w:sz w:val="16"/>
        <w:szCs w:val="16"/>
      </w:rPr>
      <w:t xml:space="preserve">  v1.0  ·  page </w:t>
    </w:r>
    <w:r>
      <w:rPr>
        <w:color w:val="5A6472"/>
        <w:sz w:val="16"/>
        <w:szCs w:val="16"/>
      </w:rPr>
      <w:fldChar w:fldCharType="begin"/>
    </w:r>
    <w:r>
      <w:rPr>
        <w:color w:val="5A6472"/>
        <w:sz w:val="16"/>
        <w:szCs w:val="16"/>
      </w:rPr>
      <w:instrText>PAGE</w:instrText>
    </w:r>
    <w:r w:rsidR="00BC648E">
      <w:rPr>
        <w:color w:val="5A6472"/>
        <w:sz w:val="16"/>
        <w:szCs w:val="16"/>
      </w:rPr>
      <w:fldChar w:fldCharType="separate"/>
    </w:r>
    <w:r w:rsidR="00BC648E">
      <w:rPr>
        <w:noProof/>
        <w:color w:val="5A6472"/>
        <w:sz w:val="16"/>
        <w:szCs w:val="16"/>
      </w:rPr>
      <w:t>1</w:t>
    </w:r>
    <w:r>
      <w:rPr>
        <w:color w:val="5A647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761EB" w:rsidRDefault="008761EB">
      <w:r>
        <w:separator/>
      </w:r>
    </w:p>
  </w:footnote>
  <w:footnote w:type="continuationSeparator" w:id="0">
    <w:p w:rsidR="008761EB" w:rsidRDefault="008761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70875F6"/>
    <w:multiLevelType w:val="hybridMultilevel"/>
    <w:tmpl w:val="49165BE8"/>
    <w:lvl w:ilvl="0" w:tplc="2D348C00">
      <w:start w:val="1"/>
      <w:numFmt w:val="bullet"/>
      <w:lvlText w:val="☐"/>
      <w:lvlJc w:val="left"/>
      <w:pPr>
        <w:ind w:left="360" w:hanging="300"/>
      </w:pPr>
    </w:lvl>
    <w:lvl w:ilvl="1" w:tplc="45D673EC">
      <w:numFmt w:val="decimal"/>
      <w:lvlText w:val=""/>
      <w:lvlJc w:val="left"/>
    </w:lvl>
    <w:lvl w:ilvl="2" w:tplc="AE464486">
      <w:numFmt w:val="decimal"/>
      <w:lvlText w:val=""/>
      <w:lvlJc w:val="left"/>
    </w:lvl>
    <w:lvl w:ilvl="3" w:tplc="16A2C0AA">
      <w:numFmt w:val="decimal"/>
      <w:lvlText w:val=""/>
      <w:lvlJc w:val="left"/>
    </w:lvl>
    <w:lvl w:ilvl="4" w:tplc="F2B841DA">
      <w:numFmt w:val="decimal"/>
      <w:lvlText w:val=""/>
      <w:lvlJc w:val="left"/>
    </w:lvl>
    <w:lvl w:ilvl="5" w:tplc="BF9EA56C">
      <w:numFmt w:val="decimal"/>
      <w:lvlText w:val=""/>
      <w:lvlJc w:val="left"/>
    </w:lvl>
    <w:lvl w:ilvl="6" w:tplc="9DBA8188">
      <w:numFmt w:val="decimal"/>
      <w:lvlText w:val=""/>
      <w:lvlJc w:val="left"/>
    </w:lvl>
    <w:lvl w:ilvl="7" w:tplc="E718133A">
      <w:numFmt w:val="decimal"/>
      <w:lvlText w:val=""/>
      <w:lvlJc w:val="left"/>
    </w:lvl>
    <w:lvl w:ilvl="8" w:tplc="EF064C06">
      <w:numFmt w:val="decimal"/>
      <w:lvlText w:val=""/>
      <w:lvlJc w:val="left"/>
    </w:lvl>
  </w:abstractNum>
  <w:abstractNum w:abstractNumId="1" w15:restartNumberingAfterBreak="0">
    <w:nsid w:val="58ED4581"/>
    <w:multiLevelType w:val="hybridMultilevel"/>
    <w:tmpl w:val="5388DC4E"/>
    <w:lvl w:ilvl="0" w:tplc="277AD00E" w:tentative="1">
      <w:start w:val="1"/>
      <w:numFmt w:val="bullet"/>
      <w:lvlText w:val="●"/>
      <w:lvlJc w:val="left"/>
      <w:pPr>
        <w:ind w:left="720" w:hanging="360"/>
      </w:pPr>
    </w:lvl>
    <w:lvl w:ilvl="1" w:tplc="5E823386" w:tentative="1">
      <w:start w:val="1"/>
      <w:numFmt w:val="bullet"/>
      <w:lvlText w:val="○"/>
      <w:lvlJc w:val="left"/>
      <w:pPr>
        <w:ind w:left="1440" w:hanging="360"/>
      </w:pPr>
    </w:lvl>
    <w:lvl w:ilvl="2" w:tplc="279018E4" w:tentative="1">
      <w:start w:val="1"/>
      <w:numFmt w:val="bullet"/>
      <w:lvlText w:val="■"/>
      <w:lvlJc w:val="left"/>
      <w:pPr>
        <w:ind w:left="2160" w:hanging="360"/>
      </w:pPr>
    </w:lvl>
    <w:lvl w:ilvl="3" w:tplc="2CF87C34" w:tentative="1">
      <w:start w:val="1"/>
      <w:numFmt w:val="bullet"/>
      <w:lvlText w:val="●"/>
      <w:lvlJc w:val="left"/>
      <w:pPr>
        <w:ind w:left="2880" w:hanging="360"/>
      </w:pPr>
    </w:lvl>
    <w:lvl w:ilvl="4" w:tplc="73C6DABA" w:tentative="1">
      <w:start w:val="1"/>
      <w:numFmt w:val="bullet"/>
      <w:lvlText w:val="○"/>
      <w:lvlJc w:val="left"/>
      <w:pPr>
        <w:ind w:left="3600" w:hanging="360"/>
      </w:pPr>
    </w:lvl>
    <w:lvl w:ilvl="5" w:tplc="C8340262" w:tentative="1">
      <w:start w:val="1"/>
      <w:numFmt w:val="bullet"/>
      <w:lvlText w:val="■"/>
      <w:lvlJc w:val="left"/>
      <w:pPr>
        <w:ind w:left="4320" w:hanging="360"/>
      </w:pPr>
    </w:lvl>
    <w:lvl w:ilvl="6" w:tplc="D1C2B408" w:tentative="1">
      <w:start w:val="1"/>
      <w:numFmt w:val="bullet"/>
      <w:lvlText w:val="●"/>
      <w:lvlJc w:val="left"/>
      <w:pPr>
        <w:ind w:left="5040" w:hanging="360"/>
      </w:pPr>
    </w:lvl>
    <w:lvl w:ilvl="7" w:tplc="15362DDE" w:tentative="1">
      <w:start w:val="1"/>
      <w:numFmt w:val="bullet"/>
      <w:lvlText w:val="●"/>
      <w:lvlJc w:val="left"/>
      <w:pPr>
        <w:ind w:left="5760" w:hanging="360"/>
      </w:pPr>
    </w:lvl>
    <w:lvl w:ilvl="8" w:tplc="10A04522" w:tentative="1">
      <w:start w:val="1"/>
      <w:numFmt w:val="bullet"/>
      <w:lvlText w:val="●"/>
      <w:lvlJc w:val="left"/>
      <w:pPr>
        <w:ind w:left="6480" w:hanging="360"/>
      </w:pPr>
    </w:lvl>
  </w:abstractNum>
  <w:abstractNum w:abstractNumId="2" w15:restartNumberingAfterBreak="0">
    <w:nsid w:val="5A32736D"/>
    <w:multiLevelType w:val="hybridMultilevel"/>
    <w:tmpl w:val="E4DE976A"/>
    <w:lvl w:ilvl="0" w:tplc="3E687442">
      <w:start w:val="1"/>
      <w:numFmt w:val="bullet"/>
      <w:lvlText w:val="•"/>
      <w:lvlJc w:val="left"/>
      <w:pPr>
        <w:ind w:left="360" w:hanging="260"/>
      </w:pPr>
    </w:lvl>
    <w:lvl w:ilvl="1" w:tplc="70BC6FE6">
      <w:numFmt w:val="decimal"/>
      <w:lvlText w:val=""/>
      <w:lvlJc w:val="left"/>
    </w:lvl>
    <w:lvl w:ilvl="2" w:tplc="6C800828">
      <w:numFmt w:val="decimal"/>
      <w:lvlText w:val=""/>
      <w:lvlJc w:val="left"/>
    </w:lvl>
    <w:lvl w:ilvl="3" w:tplc="4E08103A">
      <w:numFmt w:val="decimal"/>
      <w:lvlText w:val=""/>
      <w:lvlJc w:val="left"/>
    </w:lvl>
    <w:lvl w:ilvl="4" w:tplc="BC56D29A">
      <w:numFmt w:val="decimal"/>
      <w:lvlText w:val=""/>
      <w:lvlJc w:val="left"/>
    </w:lvl>
    <w:lvl w:ilvl="5" w:tplc="1BFE461A">
      <w:numFmt w:val="decimal"/>
      <w:lvlText w:val=""/>
      <w:lvlJc w:val="left"/>
    </w:lvl>
    <w:lvl w:ilvl="6" w:tplc="C0F296BE">
      <w:numFmt w:val="decimal"/>
      <w:lvlText w:val=""/>
      <w:lvlJc w:val="left"/>
    </w:lvl>
    <w:lvl w:ilvl="7" w:tplc="9FBEB11C">
      <w:numFmt w:val="decimal"/>
      <w:lvlText w:val=""/>
      <w:lvlJc w:val="left"/>
    </w:lvl>
    <w:lvl w:ilvl="8" w:tplc="F7E82994">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3630"/>
    <w:rsid w:val="006B7311"/>
    <w:rsid w:val="008761EB"/>
    <w:rsid w:val="00BC648E"/>
    <w:rsid w:val="00CB36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C810C"/>
  <w15:docId w15:val="{D228010B-5890-4B4D-BA92-A3E49731B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pBdr>
        <w:bottom w:val="single" w:sz="6" w:space="4" w:color="1E5BFF"/>
      </w:pBdr>
      <w:spacing w:before="360" w:after="140"/>
      <w:outlineLvl w:val="0"/>
    </w:pPr>
    <w:rPr>
      <w:b/>
      <w:bCs/>
      <w:color w:val="0B1F3A"/>
      <w:sz w:val="30"/>
      <w:szCs w:val="30"/>
    </w:rPr>
  </w:style>
  <w:style w:type="paragraph" w:styleId="Heading2">
    <w:name w:val="heading 2"/>
    <w:basedOn w:val="Normal"/>
    <w:next w:val="Normal"/>
    <w:uiPriority w:val="9"/>
    <w:unhideWhenUsed/>
    <w:qFormat/>
    <w:pPr>
      <w:keepNext/>
      <w:spacing w:before="240" w:after="100"/>
      <w:outlineLvl w:val="1"/>
    </w:pPr>
    <w:rPr>
      <w:b/>
      <w:bCs/>
      <w:color w:val="0B1F3A"/>
      <w:sz w:val="25"/>
      <w:szCs w:val="25"/>
    </w:rPr>
  </w:style>
  <w:style w:type="paragraph" w:styleId="Heading3">
    <w:name w:val="heading 3"/>
    <w:basedOn w:val="Normal"/>
    <w:next w:val="Normal"/>
    <w:uiPriority w:val="9"/>
    <w:unhideWhenUsed/>
    <w:qFormat/>
    <w:pPr>
      <w:keepNext/>
      <w:spacing w:before="200" w:after="80"/>
      <w:outlineLvl w:val="2"/>
    </w:pPr>
    <w:rPr>
      <w:b/>
      <w:bCs/>
      <w:color w:val="1E5BFF"/>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itle">
    <w:name w:val="Title"/>
    <w:basedOn w:val="Normal"/>
    <w:uiPriority w:val="10"/>
    <w:qFormat/>
    <w:pPr>
      <w:spacing w:after="80"/>
    </w:pPr>
    <w:rPr>
      <w:b/>
      <w:bCs/>
      <w:color w:val="0B1F3A"/>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915</Words>
  <Characters>5219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xSecurity Navigation + NEPRA / OT Security Brief</vt:lpstr>
    </vt:vector>
  </TitlesOfParts>
  <Company/>
  <LinksUpToDate>false</LinksUpToDate>
  <CharactersWithSpaces>6122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xSecurity Navigation + NEPRA / OT Security Brief</dc:title>
  <dc:creator>Sana Qazi</dc:creator>
  <cp:lastModifiedBy>Sana Qazi</cp:lastModifiedBy>
  <cp:revision>3</cp:revision>
  <dcterms:created xsi:type="dcterms:W3CDTF">2026-10-01T05:52:00Z</dcterms:created>
  <dcterms:modified xsi:type="dcterms:W3CDTF">2026-10-01T06:28:00Z</dcterms:modified>
</cp:coreProperties>
</file>