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43C1" w14:textId="77777777" w:rsidR="002717C0" w:rsidRDefault="00000000">
      <w:pPr>
        <w:pStyle w:val="Title"/>
        <w:spacing w:after="120"/>
      </w:pPr>
      <w:r>
        <w:t>TekRevol Messaging and Positioning (AI-First)</w:t>
      </w:r>
    </w:p>
    <w:p w14:paraId="552E17B5" w14:textId="77777777" w:rsidR="002717C0" w:rsidRDefault="00000000">
      <w:pPr>
        <w:spacing w:after="160"/>
      </w:pPr>
      <w:r>
        <w:t>This updates the original Messaging and Positioning doc for the AI-first software development pivot. Everything from that doc still holds (the research it's built on hasn't changed) except the category framing and the pillar structure, which this version replaces. Where this doc proposes a new pillar structure, that's flagged plainly as a recommendation, not a signed-off decision, since the four pillar names are still an open item on Abeer's execution plan.</w:t>
      </w:r>
    </w:p>
    <w:p w14:paraId="6450575D" w14:textId="77777777" w:rsidR="002717C0" w:rsidRDefault="00000000">
      <w:pPr>
        <w:pStyle w:val="Heading2"/>
        <w:spacing w:before="320" w:after="160"/>
      </w:pPr>
      <w:r>
        <w:t>1. Core positioning</w:t>
      </w:r>
    </w:p>
    <w:p w14:paraId="7934781A" w14:textId="77777777" w:rsidR="002717C0" w:rsidRDefault="00000000">
      <w:pPr>
        <w:spacing w:after="160"/>
      </w:pPr>
      <w:r>
        <w:rPr>
          <w:b/>
          <w:bCs/>
        </w:rPr>
        <w:t xml:space="preserve">The one-line truth. </w:t>
      </w:r>
      <w:r>
        <w:t>TekRevol is an AI-first software development company. It builds AI-native products from scratch and takes AI-built prototypes (Lovable, Bolt, and similar tools) the rest of the way to production, backed by the same mobile, web, cloud, and custom software engineering that has always been its main revenue engine.</w:t>
      </w:r>
    </w:p>
    <w:p w14:paraId="6CF07E2B" w14:textId="77777777" w:rsidR="002717C0" w:rsidRDefault="00000000">
      <w:pPr>
        <w:spacing w:after="160"/>
      </w:pPr>
      <w:r>
        <w:rPr>
          <w:b/>
          <w:bCs/>
        </w:rPr>
        <w:t xml:space="preserve">Why AI-first and not just "software development company." </w:t>
      </w:r>
      <w:r>
        <w:t>The parent category stays software development, since that's still what the site's keyword data supports. What changes is which pillar leads. AI moves from one service among several to the headline, because that's the direction the business has decided to compete in, and because a growing share of inbound leads already arrive with a stalled AI-builder prototype rather than a blank page.</w:t>
      </w:r>
    </w:p>
    <w:p w14:paraId="61253A38" w14:textId="77777777" w:rsidR="002717C0" w:rsidRDefault="00000000">
      <w:pPr>
        <w:spacing w:after="160"/>
      </w:pPr>
      <w:r>
        <w:rPr>
          <w:b/>
          <w:bCs/>
        </w:rPr>
        <w:t xml:space="preserve">The proposed hierarchy. </w:t>
      </w:r>
      <w:r>
        <w:t>This groups the real service catalog (102 services across 11 pillars) into four AI-first pillars. This grouping is a recommendation, not yet a signed-off decision.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900"/>
        <w:gridCol w:w="3860"/>
      </w:tblGrid>
      <w:tr w:rsidR="002717C0" w14:paraId="162F9F81" w14:textId="77777777">
        <w:tblPrEx>
          <w:tblCellMar>
            <w:top w:w="0" w:type="dxa"/>
            <w:bottom w:w="0" w:type="dxa"/>
          </w:tblCellMar>
        </w:tblPrEx>
        <w:trPr>
          <w:tblHeader/>
        </w:trPr>
        <w:tc>
          <w:tcPr>
            <w:tcW w:w="2800" w:type="dxa"/>
            <w:shd w:val="clear" w:color="auto" w:fill="1F3864"/>
          </w:tcPr>
          <w:p w14:paraId="6C376742" w14:textId="77777777" w:rsidR="002717C0" w:rsidRDefault="00000000">
            <w:r>
              <w:rPr>
                <w:b/>
                <w:bCs/>
                <w:color w:val="FFFFFF"/>
              </w:rPr>
              <w:t>Pillar</w:t>
            </w:r>
          </w:p>
        </w:tc>
        <w:tc>
          <w:tcPr>
            <w:tcW w:w="900" w:type="dxa"/>
            <w:shd w:val="clear" w:color="auto" w:fill="1F3864"/>
          </w:tcPr>
          <w:p w14:paraId="248144EA" w14:textId="77777777" w:rsidR="002717C0" w:rsidRDefault="00000000">
            <w:r>
              <w:rPr>
                <w:b/>
                <w:bCs/>
                <w:color w:val="FFFFFF"/>
              </w:rPr>
              <w:t>Services</w:t>
            </w:r>
          </w:p>
        </w:tc>
        <w:tc>
          <w:tcPr>
            <w:tcW w:w="1900" w:type="dxa"/>
            <w:shd w:val="clear" w:color="auto" w:fill="1F3864"/>
          </w:tcPr>
          <w:p w14:paraId="0E3D9B41" w14:textId="77777777" w:rsidR="002717C0" w:rsidRDefault="00000000">
            <w:r>
              <w:rPr>
                <w:b/>
                <w:bCs/>
                <w:color w:val="FFFFFF"/>
              </w:rPr>
              <w:t>Priority</w:t>
            </w:r>
          </w:p>
        </w:tc>
        <w:tc>
          <w:tcPr>
            <w:tcW w:w="3860" w:type="dxa"/>
            <w:shd w:val="clear" w:color="auto" w:fill="1F3864"/>
          </w:tcPr>
          <w:p w14:paraId="6C79C2B6" w14:textId="77777777" w:rsidR="002717C0" w:rsidRDefault="00000000">
            <w:r>
              <w:rPr>
                <w:b/>
                <w:bCs/>
                <w:color w:val="FFFFFF"/>
              </w:rPr>
              <w:t>Rolls up</w:t>
            </w:r>
          </w:p>
        </w:tc>
      </w:tr>
      <w:tr w:rsidR="002717C0" w14:paraId="2A367724" w14:textId="77777777">
        <w:tblPrEx>
          <w:tblCellMar>
            <w:top w:w="0" w:type="dxa"/>
            <w:bottom w:w="0" w:type="dxa"/>
          </w:tblCellMar>
        </w:tblPrEx>
        <w:tc>
          <w:tcPr>
            <w:tcW w:w="2800" w:type="dxa"/>
          </w:tcPr>
          <w:p w14:paraId="3C06D42E" w14:textId="77777777" w:rsidR="002717C0" w:rsidRDefault="00000000">
            <w:r>
              <w:t>AI-Native Software Development</w:t>
            </w:r>
          </w:p>
        </w:tc>
        <w:tc>
          <w:tcPr>
            <w:tcW w:w="900" w:type="dxa"/>
          </w:tcPr>
          <w:p w14:paraId="6D06CB04" w14:textId="77777777" w:rsidR="002717C0" w:rsidRDefault="00000000">
            <w:r>
              <w:t>40</w:t>
            </w:r>
          </w:p>
        </w:tc>
        <w:tc>
          <w:tcPr>
            <w:tcW w:w="1900" w:type="dxa"/>
          </w:tcPr>
          <w:p w14:paraId="38A73E48" w14:textId="77777777" w:rsidR="002717C0" w:rsidRDefault="00000000">
            <w:r>
              <w:t>Core, homepage</w:t>
            </w:r>
          </w:p>
        </w:tc>
        <w:tc>
          <w:tcPr>
            <w:tcW w:w="3860" w:type="dxa"/>
          </w:tcPr>
          <w:p w14:paraId="030D244E" w14:textId="77777777" w:rsidR="002717C0" w:rsidRDefault="00000000">
            <w:r>
              <w:t>Mobile app development, web development, custom software development</w:t>
            </w:r>
          </w:p>
        </w:tc>
      </w:tr>
      <w:tr w:rsidR="002717C0" w14:paraId="1A1174A9" w14:textId="77777777">
        <w:tblPrEx>
          <w:tblCellMar>
            <w:top w:w="0" w:type="dxa"/>
            <w:bottom w:w="0" w:type="dxa"/>
          </w:tblCellMar>
        </w:tblPrEx>
        <w:tc>
          <w:tcPr>
            <w:tcW w:w="2800" w:type="dxa"/>
          </w:tcPr>
          <w:p w14:paraId="06855968" w14:textId="77777777" w:rsidR="002717C0" w:rsidRDefault="00000000">
            <w:r>
              <w:t>Applied AI and Intelligent Automation</w:t>
            </w:r>
          </w:p>
        </w:tc>
        <w:tc>
          <w:tcPr>
            <w:tcW w:w="900" w:type="dxa"/>
          </w:tcPr>
          <w:p w14:paraId="44C38D2C" w14:textId="77777777" w:rsidR="002717C0" w:rsidRDefault="00000000">
            <w:r>
              <w:t>9</w:t>
            </w:r>
          </w:p>
        </w:tc>
        <w:tc>
          <w:tcPr>
            <w:tcW w:w="1900" w:type="dxa"/>
          </w:tcPr>
          <w:p w14:paraId="1D0BB923" w14:textId="77777777" w:rsidR="002717C0" w:rsidRDefault="00000000">
            <w:r>
              <w:t>Core, homepage</w:t>
            </w:r>
          </w:p>
        </w:tc>
        <w:tc>
          <w:tcPr>
            <w:tcW w:w="3860" w:type="dxa"/>
          </w:tcPr>
          <w:p w14:paraId="65CA399F" w14:textId="77777777" w:rsidR="002717C0" w:rsidRDefault="00000000">
            <w:r>
              <w:t>The existing AI services pillar</w:t>
            </w:r>
          </w:p>
        </w:tc>
      </w:tr>
      <w:tr w:rsidR="002717C0" w14:paraId="0ACE5208" w14:textId="77777777">
        <w:tblPrEx>
          <w:tblCellMar>
            <w:top w:w="0" w:type="dxa"/>
            <w:bottom w:w="0" w:type="dxa"/>
          </w:tblCellMar>
        </w:tblPrEx>
        <w:tc>
          <w:tcPr>
            <w:tcW w:w="2800" w:type="dxa"/>
          </w:tcPr>
          <w:p w14:paraId="2AB54074" w14:textId="77777777" w:rsidR="002717C0" w:rsidRDefault="00000000">
            <w:r>
              <w:t>Cloud, Data and AI Infrastructure</w:t>
            </w:r>
          </w:p>
        </w:tc>
        <w:tc>
          <w:tcPr>
            <w:tcW w:w="900" w:type="dxa"/>
          </w:tcPr>
          <w:p w14:paraId="06765971" w14:textId="77777777" w:rsidR="002717C0" w:rsidRDefault="00000000">
            <w:r>
              <w:t>22</w:t>
            </w:r>
          </w:p>
        </w:tc>
        <w:tc>
          <w:tcPr>
            <w:tcW w:w="1900" w:type="dxa"/>
          </w:tcPr>
          <w:p w14:paraId="0551F97B" w14:textId="77777777" w:rsidR="002717C0" w:rsidRDefault="00000000">
            <w:r>
              <w:t>Supporting, homepage</w:t>
            </w:r>
          </w:p>
        </w:tc>
        <w:tc>
          <w:tcPr>
            <w:tcW w:w="3860" w:type="dxa"/>
          </w:tcPr>
          <w:p w14:paraId="34DC845A" w14:textId="77777777" w:rsidR="002717C0" w:rsidRDefault="00000000">
            <w:r>
              <w:t>Cloud/data/DevOps, technology stack</w:t>
            </w:r>
          </w:p>
        </w:tc>
      </w:tr>
      <w:tr w:rsidR="002717C0" w14:paraId="1723B47C" w14:textId="77777777">
        <w:tblPrEx>
          <w:tblCellMar>
            <w:top w:w="0" w:type="dxa"/>
            <w:bottom w:w="0" w:type="dxa"/>
          </w:tblCellMar>
        </w:tblPrEx>
        <w:tc>
          <w:tcPr>
            <w:tcW w:w="2800" w:type="dxa"/>
          </w:tcPr>
          <w:p w14:paraId="282DAE83" w14:textId="77777777" w:rsidR="002717C0" w:rsidRDefault="00000000">
            <w:r>
              <w:t>Strategy and Team Extension</w:t>
            </w:r>
          </w:p>
        </w:tc>
        <w:tc>
          <w:tcPr>
            <w:tcW w:w="900" w:type="dxa"/>
          </w:tcPr>
          <w:p w14:paraId="7B8C9481" w14:textId="77777777" w:rsidR="002717C0" w:rsidRDefault="00000000">
            <w:r>
              <w:t>14</w:t>
            </w:r>
          </w:p>
        </w:tc>
        <w:tc>
          <w:tcPr>
            <w:tcW w:w="1900" w:type="dxa"/>
          </w:tcPr>
          <w:p w14:paraId="5B2A0C8D" w14:textId="77777777" w:rsidR="002717C0" w:rsidRDefault="00000000">
            <w:r>
              <w:t>Supporting, homepage</w:t>
            </w:r>
          </w:p>
        </w:tc>
        <w:tc>
          <w:tcPr>
            <w:tcW w:w="3860" w:type="dxa"/>
          </w:tcPr>
          <w:p w14:paraId="77306871" w14:textId="77777777" w:rsidR="002717C0" w:rsidRDefault="00000000">
            <w:r>
              <w:t>Consulting and strategy, staff augmentation</w:t>
            </w:r>
          </w:p>
        </w:tc>
      </w:tr>
      <w:tr w:rsidR="002717C0" w14:paraId="29AB3B41" w14:textId="77777777">
        <w:tblPrEx>
          <w:tblCellMar>
            <w:top w:w="0" w:type="dxa"/>
            <w:bottom w:w="0" w:type="dxa"/>
          </w:tblCellMar>
        </w:tblPrEx>
        <w:tc>
          <w:tcPr>
            <w:tcW w:w="2800" w:type="dxa"/>
          </w:tcPr>
          <w:p w14:paraId="4FCFAF38" w14:textId="77777777" w:rsidR="002717C0" w:rsidRDefault="00000000">
            <w:r>
              <w:t>Off-pillar (stays on site, not part of the AI-first homepage story)</w:t>
            </w:r>
          </w:p>
        </w:tc>
        <w:tc>
          <w:tcPr>
            <w:tcW w:w="900" w:type="dxa"/>
          </w:tcPr>
          <w:p w14:paraId="6D81DDB1" w14:textId="77777777" w:rsidR="002717C0" w:rsidRDefault="00000000">
            <w:r>
              <w:t>17</w:t>
            </w:r>
          </w:p>
        </w:tc>
        <w:tc>
          <w:tcPr>
            <w:tcW w:w="1900" w:type="dxa"/>
          </w:tcPr>
          <w:p w14:paraId="2A22D426" w14:textId="77777777" w:rsidR="002717C0" w:rsidRDefault="00000000">
            <w:r>
              <w:t>Not homepage-featured</w:t>
            </w:r>
          </w:p>
        </w:tc>
        <w:tc>
          <w:tcPr>
            <w:tcW w:w="3860" w:type="dxa"/>
          </w:tcPr>
          <w:p w14:paraId="15319198" w14:textId="77777777" w:rsidR="002717C0" w:rsidRDefault="00000000">
            <w:r>
              <w:t>Game development, blockchain, digital marketing</w:t>
            </w:r>
          </w:p>
        </w:tc>
      </w:tr>
    </w:tbl>
    <w:p w14:paraId="290CE795" w14:textId="77777777" w:rsidR="002717C0" w:rsidRDefault="00000000">
      <w:pPr>
        <w:spacing w:before="200" w:after="160"/>
      </w:pPr>
      <w:r>
        <w:t>Nothing gets deleted. Game development, blockchain, and digital marketing keep their service pages, they just aren't part of the four pillars the homepage leads with.</w:t>
      </w:r>
    </w:p>
    <w:p w14:paraId="6F1D1718" w14:textId="77777777" w:rsidR="002717C0" w:rsidRDefault="00000000">
      <w:pPr>
        <w:spacing w:after="160"/>
      </w:pPr>
      <w:r>
        <w:rPr>
          <w:b/>
          <w:bCs/>
        </w:rPr>
        <w:t xml:space="preserve">One thing worth noticing: the fix is already half-built. </w:t>
      </w:r>
      <w:r>
        <w:t>The homepage's own mid-page service section already separates AI and Intelligent Automation as its own pillar, distinct from Mobile App Development, Digital Product Engineering, Custom Software Development, Cloud/Data/DevOps, and Blockchain. That's most of this structure already live. The proposed change is consolidating the build-focused pillars under one AI-Native Software Development banner, adding Strategy and Team Extension as a fourth homepage pillar, and moving Blockchain off the headline set. This is aligning what's mostly already there, not inventing something new.</w:t>
      </w:r>
    </w:p>
    <w:p w14:paraId="4A0BD700" w14:textId="77777777" w:rsidR="002717C0" w:rsidRDefault="00000000">
      <w:pPr>
        <w:pStyle w:val="Heading2"/>
        <w:spacing w:before="320" w:after="160"/>
      </w:pPr>
      <w:r>
        <w:t>2. Positioning statement, at three lengths</w:t>
      </w:r>
    </w:p>
    <w:p w14:paraId="4343E867" w14:textId="77777777" w:rsidR="002717C0" w:rsidRDefault="00000000">
      <w:pPr>
        <w:spacing w:after="160"/>
      </w:pPr>
      <w:r>
        <w:rPr>
          <w:b/>
          <w:bCs/>
        </w:rPr>
        <w:t xml:space="preserve">Formal. </w:t>
      </w:r>
      <w:r>
        <w:t>For founders, small businesses, and mid-market operators who need a software partner they can actually trust, TekRevol is an AI-first software development company that builds AI-native mobile, web, cloud, and custom software products, and finishes what AI builder tools start. Unlike a freelancer who disappears mid-build or an AI prototype that stalls out past its first version, TekRevol ships, communicates on a fixed schedule, and builds to real compliance standards from the first sprint.</w:t>
      </w:r>
    </w:p>
    <w:p w14:paraId="1F37833F" w14:textId="77777777" w:rsidR="002717C0" w:rsidRDefault="00000000">
      <w:pPr>
        <w:spacing w:after="160"/>
      </w:pPr>
      <w:r>
        <w:rPr>
          <w:b/>
          <w:bCs/>
        </w:rPr>
        <w:t xml:space="preserve">One line. </w:t>
      </w:r>
      <w:r>
        <w:t>TekRevol builds the AI-native software other vendors, and other AI tools, couldn't finish.</w:t>
      </w:r>
    </w:p>
    <w:p w14:paraId="2FB2DAD5" w14:textId="77777777" w:rsidR="002717C0" w:rsidRDefault="00000000">
      <w:pPr>
        <w:spacing w:after="160"/>
      </w:pPr>
      <w:r>
        <w:rPr>
          <w:b/>
          <w:bCs/>
        </w:rPr>
        <w:lastRenderedPageBreak/>
        <w:t xml:space="preserve">One paragraph. </w:t>
      </w:r>
      <w:r>
        <w:t>TekRevol is an AI-first software development company built around AI-native software, applied AI and automation, cloud and data infrastructure, and strategy and team extension. Most clients arrive after something else has already gone wrong: a vendor that vanished, a freelance build that stalled, an AI prototype that hit a wall. TekRevol takes it from there, with the same team from kickoff to launch and compliance (HIPAA, SOC 2, GDPR, PCI DSS) built in from the first sprint, not bolted on before delivery.</w:t>
      </w:r>
    </w:p>
    <w:p w14:paraId="7B81FA23" w14:textId="77777777" w:rsidR="002717C0" w:rsidRDefault="00000000">
      <w:pPr>
        <w:pStyle w:val="Heading2"/>
        <w:spacing w:before="320" w:after="160"/>
      </w:pPr>
      <w:r>
        <w:t>3. The competitive narrative</w:t>
      </w:r>
    </w:p>
    <w:p w14:paraId="44660BF9" w14:textId="77777777" w:rsidR="002717C0" w:rsidRDefault="00000000">
      <w:pPr>
        <w:spacing w:after="160"/>
      </w:pPr>
      <w:r>
        <w:rPr>
          <w:b/>
          <w:bCs/>
        </w:rPr>
        <w:t xml:space="preserve">The finding this section is built on. </w:t>
      </w:r>
      <w:r>
        <w:t>Across 523 real sales calls, no prospect ever named a rival development agency and compared its price to TekRevol's. The comparison that actually happens, over and over, is against a vendor that already failed the prospect: a collapsed build, a freelancer who went quiet, an AI prototype that hit a wall. 9 of 12 named-vendor mentions in the archive are a prospect leaving someone, not comparing two live bids.</w:t>
      </w:r>
    </w:p>
    <w:p w14:paraId="19E621A8" w14:textId="77777777" w:rsidR="002717C0" w:rsidRDefault="00000000">
      <w:pPr>
        <w:spacing w:after="160"/>
      </w:pPr>
      <w:r>
        <w:rPr>
          <w:b/>
          <w:bCs/>
        </w:rPr>
        <w:t xml:space="preserve">What this means for positioning. </w:t>
      </w:r>
      <w:r>
        <w:t>TekRevol isn't fighting rival agencies for attention. It's answering a much more specific question: can this vendor be trusted after the last one wasn't. That question now applies just as directly to AI builder tools as it did to freelancers and failed agencies, which is exactly the gap the AI-Native Software Development pillar is built to close.</w:t>
      </w:r>
    </w:p>
    <w:p w14:paraId="2CA5E779" w14:textId="77777777" w:rsidR="002717C0" w:rsidRDefault="00000000">
      <w:pPr>
        <w:spacing w:after="160"/>
      </w:pPr>
      <w:r>
        <w:rPr>
          <w:b/>
          <w:bCs/>
        </w:rPr>
        <w:t xml:space="preserve">How to say it without turning it into a competitor takedown. </w:t>
      </w:r>
      <w:r>
        <w:t>Never name a rival, a platform, or an AI tool in public copy. Speak to the situation, not the vendor: "if a previous build stalled," "if the code you were promised never showed up," "if an AI prototype got you 80% of the way and no further." The prospect recognizes their own story without TekRevol punching down at anyone.</w:t>
      </w:r>
    </w:p>
    <w:p w14:paraId="73ADE4B2" w14:textId="77777777" w:rsidR="002717C0" w:rsidRDefault="00000000">
      <w:pPr>
        <w:spacing w:after="160"/>
      </w:pPr>
      <w:r>
        <w:rPr>
          <w:b/>
          <w:bCs/>
        </w:rPr>
        <w:t xml:space="preserve">A privacy note before this goes further. </w:t>
      </w:r>
      <w:r>
        <w:t>The real accounts behind this finding, the collapsed Builder.ai build, the Fiverr and Upwork stories, came from internal sales-call transcripts and carry real first names. None of those names or specifics should appear in public-facing copy without the client's explicit case-study consent. Use the pattern, not the person, until a named, approved case study exists to carry it.</w:t>
      </w:r>
    </w:p>
    <w:p w14:paraId="712B7566" w14:textId="77777777" w:rsidR="002717C0" w:rsidRDefault="00000000">
      <w:pPr>
        <w:pStyle w:val="Heading2"/>
        <w:spacing w:before="320" w:after="160"/>
      </w:pPr>
      <w:r>
        <w:t>4. ICP-specific messaging</w:t>
      </w:r>
    </w:p>
    <w:p w14:paraId="2B43CA42" w14:textId="77777777" w:rsidR="002717C0" w:rsidRDefault="00000000">
      <w:pPr>
        <w:spacing w:after="160"/>
      </w:pPr>
      <w:r>
        <w:t>Each segment gets a different opening, because each persona is worried about a different thing first. Full personas, with the pillar each one reaches for, are in the Buyer Personas (AI-First) doc.</w:t>
      </w:r>
    </w:p>
    <w:p w14:paraId="62B317B9" w14:textId="77777777" w:rsidR="002717C0" w:rsidRDefault="00000000">
      <w:pPr>
        <w:spacing w:after="160"/>
      </w:pPr>
      <w:r>
        <w:rPr>
          <w:b/>
          <w:bCs/>
        </w:rPr>
        <w:t xml:space="preserve">Founders. </w:t>
      </w:r>
      <w:r>
        <w:t>Lead with trust, not features, and meet them wherever they already are: a blank page or a stalled AI-builder prototype. Headline direction: "Built by people who finish what the last team, or the last AI tool, started." Proof to use: real launch stories, flexible commercial terms for pre-revenue founders. CTA style: low-pressure, conversation-first, not a hard quote request.</w:t>
      </w:r>
    </w:p>
    <w:p w14:paraId="0BA1F491" w14:textId="77777777" w:rsidR="002717C0" w:rsidRDefault="00000000">
      <w:pPr>
        <w:spacing w:after="160"/>
      </w:pPr>
      <w:r>
        <w:rPr>
          <w:b/>
          <w:bCs/>
        </w:rPr>
        <w:t xml:space="preserve">SMB. </w:t>
      </w:r>
      <w:r>
        <w:t>Lead with speed, since the business and its revenue already exist. Headline direction: "Your business is already running. Your software should be too." Proof to use: fast turnarounds, a single point of contact from kickoff to launch, since being passed between contacts is this segment's clearest disqualifier. CTA style: direct, practical, a real timeline stated up front.</w:t>
      </w:r>
    </w:p>
    <w:p w14:paraId="5F3028C7" w14:textId="77777777" w:rsidR="002717C0" w:rsidRDefault="00000000">
      <w:pPr>
        <w:spacing w:after="160"/>
      </w:pPr>
      <w:r>
        <w:rPr>
          <w:b/>
          <w:bCs/>
        </w:rPr>
        <w:t xml:space="preserve">Mid-market champion. </w:t>
      </w:r>
      <w:r>
        <w:t>This person can't sign, so give them something to carry upstairs, built around whichever pillar their project sits under. Headline direction: "A proposal your leadership will actually approve." Proof to use: compliance credentials stated plainly, clear and comparable pricing structure. CTA style: offer a one-page summary built for forwarding, not just a call booking.</w:t>
      </w:r>
    </w:p>
    <w:p w14:paraId="55994CC8" w14:textId="77777777" w:rsidR="002717C0" w:rsidRDefault="00000000">
      <w:pPr>
        <w:spacing w:after="160"/>
      </w:pPr>
      <w:r>
        <w:rPr>
          <w:b/>
          <w:bCs/>
        </w:rPr>
        <w:t xml:space="preserve">Mid-market approver. </w:t>
      </w:r>
      <w:r>
        <w:t>This person is almost never on a call, so this messaging lives in the material the champion hands upward: proposals, one-pagers, the compliance section of the site. Headline direction: "Built to the standard your industry already requires." Proof to use: HIPAA, SOC 2, GDPR, PCI DSS, named plainly, plus real enterprise-adjacent logos where approved for use. CTA style: none needed directly, this messaging supports the champion's pitch rather than asking for its own response.</w:t>
      </w:r>
    </w:p>
    <w:p w14:paraId="75238379" w14:textId="77777777" w:rsidR="002717C0" w:rsidRDefault="00000000">
      <w:pPr>
        <w:pStyle w:val="Heading2"/>
        <w:spacing w:before="320" w:after="160"/>
      </w:pPr>
      <w:r>
        <w:t>5. Home-based care vertical messaging</w:t>
      </w:r>
    </w:p>
    <w:p w14:paraId="6E77AB98" w14:textId="77777777" w:rsidR="002717C0" w:rsidRDefault="00000000">
      <w:pPr>
        <w:spacing w:after="160"/>
      </w:pPr>
      <w:r>
        <w:lastRenderedPageBreak/>
        <w:t>This is the flagship bet, personally driven by Abeer, with real market sizing behind it: a $107B market growing 7.4% annually, and an estimated 12,000 to 16,000 mid-market operators (revenue $5M to $50M) in the US alone. It earns its own voice, distinct from the general software-company positioning, and sits mainly under Applied AI and Intelligent Automation, since the products behind it (claims, scheduling, admissions) are AI-driven operational tools, not just custom builds.</w:t>
      </w:r>
    </w:p>
    <w:p w14:paraId="7FFEE31F" w14:textId="77777777" w:rsidR="002717C0" w:rsidRDefault="00000000">
      <w:pPr>
        <w:spacing w:after="160"/>
      </w:pPr>
      <w:r>
        <w:rPr>
          <w:b/>
          <w:bCs/>
        </w:rPr>
        <w:t xml:space="preserve">Lead with the operator's specific reality, not a generic healthcare pitch. </w:t>
      </w:r>
      <w:r>
        <w:t>The research already splits this into three operator types with different pain points: Home Health Agencies (billing and claims complexity), Home Care Agencies (private duty, non-medical, communication and scheduling gaps), and Behavioral Health IOP/PHP Operators (dormant admissions inquiries as lost revenue). Messaging should speak to one of these directly, not to "home care" broadly.</w:t>
      </w:r>
    </w:p>
    <w:p w14:paraId="705C14AB" w14:textId="77777777" w:rsidR="002717C0" w:rsidRDefault="00000000">
      <w:pPr>
        <w:spacing w:after="160"/>
      </w:pPr>
      <w:r>
        <w:rPr>
          <w:b/>
          <w:bCs/>
        </w:rPr>
        <w:t xml:space="preserve">Compliance is the headline, not a footnote. </w:t>
      </w:r>
      <w:r>
        <w:t>This buyer is evaluating vendors formally and screens for HIPAA and security competence early. Lead with it: "Built for HIPAA from the first sprint," not a compliance badge added at the bottom of a page.</w:t>
      </w:r>
    </w:p>
    <w:p w14:paraId="1791E06E" w14:textId="77777777" w:rsidR="002717C0" w:rsidRDefault="00000000">
      <w:pPr>
        <w:spacing w:after="160"/>
      </w:pPr>
      <w:r>
        <w:rPr>
          <w:b/>
          <w:bCs/>
        </w:rPr>
        <w:t xml:space="preserve">One naming item to lock before any of this goes live. </w:t>
      </w:r>
      <w:r>
        <w:t>The products behind this vertical, Rivana, ClaimShield, CareOS, CensusFlow, and Reverto, have an unresolved naming overlap flagged earlier: whether Rivana and CareOS are the same product under different names. Don't finalize public-facing copy naming these products until that's confirmed with Iman or Abeer directly.</w:t>
      </w:r>
    </w:p>
    <w:p w14:paraId="525B9CA0" w14:textId="77777777" w:rsidR="002717C0" w:rsidRDefault="00000000">
      <w:pPr>
        <w:spacing w:after="160"/>
      </w:pPr>
      <w:r>
        <w:rPr>
          <w:b/>
          <w:bCs/>
        </w:rPr>
        <w:t xml:space="preserve">The real blocker stays the real blocker. </w:t>
      </w:r>
      <w:r>
        <w:t>None of this messaging has anywhere to land until the tekrevol.com/home-based-care hub page is actually live. That's a build issue, not a messaging one, but it's worth repeating here since it's the single biggest lever on whether this section of the doc does anything at all.</w:t>
      </w:r>
    </w:p>
    <w:p w14:paraId="1F94769A" w14:textId="77777777" w:rsidR="002717C0" w:rsidRDefault="00000000">
      <w:pPr>
        <w:pStyle w:val="Heading2"/>
        <w:spacing w:before="320" w:after="160"/>
      </w:pPr>
      <w:r>
        <w:t>6. Proof point library</w:t>
      </w:r>
    </w:p>
    <w:p w14:paraId="1D96A892" w14:textId="77777777" w:rsidR="002717C0" w:rsidRDefault="00000000">
      <w:pPr>
        <w:spacing w:after="160"/>
      </w:pPr>
      <w:r>
        <w:rPr>
          <w:b/>
          <w:bCs/>
        </w:rPr>
        <w:t xml:space="preserve">Safe to state anywhere, already public on the site. </w:t>
      </w:r>
      <w:r>
        <w:t>800+ apps and digital products delivered. 98% client satisfaction rate. 10 years industry experience. 4.8/5 Clutch rating. Awards: Clutch Top 1000 Companies, Right Firms Top Mobile App Development Company, Top Developers Top Entertainment App Developers, Expertise Best Mobile App Developer, Inc. 5000 America's Fastest Growing Companies, Horizon Award Gold and Silver, Software World Top App Development Companies.</w:t>
      </w:r>
    </w:p>
    <w:p w14:paraId="37CDAC7A" w14:textId="77777777" w:rsidR="002717C0" w:rsidRDefault="00000000">
      <w:pPr>
        <w:spacing w:after="160"/>
      </w:pPr>
      <w:r>
        <w:rPr>
          <w:b/>
          <w:bCs/>
        </w:rPr>
        <w:t xml:space="preserve">New for the AI-first pivot, pending launch. </w:t>
      </w:r>
      <w:r>
        <w:t>A Lovable partner listing is scheduled to go live (T015 on Abeer's accelerated plan, targeted for the same date as the new homepage claim). Once live, it's a real, checkable proof point for the AI-Native Software Development pillar specifically: evidence TekRevol is recognized by the AI-builder ecosystem it's now positioned to pick up after. Don't state it publicly before it's actually live.</w:t>
      </w:r>
    </w:p>
    <w:p w14:paraId="685E8A14" w14:textId="77777777" w:rsidR="002717C0" w:rsidRDefault="00000000">
      <w:pPr>
        <w:spacing w:after="160"/>
      </w:pPr>
      <w:r>
        <w:rPr>
          <w:b/>
          <w:bCs/>
        </w:rPr>
        <w:t xml:space="preserve">Compliance credentials, already built and stated on site. </w:t>
      </w:r>
      <w:r>
        <w:t>GDPR and CCPA (privacy by design), encryption and least-privilege access with a secure SDLC, private LLMs with PII redaction and documented model governance through RevAI, and direct experience with PCI DSS, HIPAA, and SOC 2. Regional build experience across the US, EU, and Middle East.</w:t>
      </w:r>
    </w:p>
    <w:p w14:paraId="0DE3FF3B" w14:textId="77777777" w:rsidR="002717C0" w:rsidRDefault="00000000">
      <w:pPr>
        <w:spacing w:after="160"/>
      </w:pPr>
      <w:r>
        <w:rPr>
          <w:b/>
          <w:bCs/>
        </w:rPr>
        <w:t xml:space="preserve">Named case studies already public. </w:t>
      </w:r>
      <w:r>
        <w:t>Kinder Morgan (a data platform lifting operational efficiency by 40% for an oil and gas team), Rehkempers (automated truss pricing, freight, and tariffs across 4 manufacturing plants, replacing a 50-year manual process), Pure Plank (a fitness app guiding 20,000+ users), Rise Up Kings (a personal-development platform, 1,000+ users past 100+ growth goals).</w:t>
      </w:r>
    </w:p>
    <w:p w14:paraId="7EC3255D" w14:textId="77777777" w:rsidR="002717C0" w:rsidRDefault="00000000">
      <w:pPr>
        <w:spacing w:after="160"/>
      </w:pPr>
      <w:r>
        <w:rPr>
          <w:b/>
          <w:bCs/>
        </w:rPr>
        <w:t xml:space="preserve">The other 72 case studies, unused. </w:t>
      </w:r>
      <w:r>
        <w:t>The site holds 76 case studies total. Almost all of them sit untagged, not filterable by industry or ICP, so a buyer can't find the work that matches their situation. Tagging this library is a content task, not a messaging one, but this doc is the reason it now matters.</w:t>
      </w:r>
    </w:p>
    <w:p w14:paraId="1F7D6410" w14:textId="77777777" w:rsidR="002717C0" w:rsidRDefault="00000000">
      <w:pPr>
        <w:spacing w:after="160"/>
      </w:pPr>
      <w:r>
        <w:rPr>
          <w:b/>
          <w:bCs/>
        </w:rPr>
        <w:t xml:space="preserve">What never gets claimed. </w:t>
      </w:r>
      <w:r>
        <w:t>No percentage, dollar figure, or timeframe that isn't backed by a real, checkable source. Any claim about faster delivery or lower cost from building AI-native or from using AI-assisted development internally is illustrative only, not yet backed by a piloted, measured engagement, and should be labeled that way until real client data exists. The $107B market figure and the operator counts in the home-based care section are sourced claims about the market, not about TekRevol, and should be cited as such wherever they're used publicly.</w:t>
      </w:r>
    </w:p>
    <w:p w14:paraId="28747648" w14:textId="77777777" w:rsidR="002717C0" w:rsidRDefault="00000000">
      <w:pPr>
        <w:pStyle w:val="Heading2"/>
        <w:spacing w:before="320" w:after="160"/>
      </w:pPr>
      <w:r>
        <w:lastRenderedPageBreak/>
        <w:t>7. Voice and tone</w:t>
      </w:r>
    </w:p>
    <w:p w14:paraId="16EA720A" w14:textId="77777777" w:rsidR="002717C0" w:rsidRDefault="00000000">
      <w:pPr>
        <w:spacing w:after="160"/>
      </w:pPr>
      <w:r>
        <w:rPr>
          <w:b/>
          <w:bCs/>
        </w:rPr>
        <w:t xml:space="preserve">This section is proposed, not official. </w:t>
      </w:r>
      <w:r>
        <w:t>No brand voice guide exists for TekRevol today. What follows extends the principles already encoded in TekRevol's own content-writing skill, which governs articles, out to positioning and web copy generally. Treat it as a strong starting point, not a settled standard, until someone with brand authority signs off.</w:t>
      </w:r>
    </w:p>
    <w:p w14:paraId="3B25A0DB" w14:textId="77777777" w:rsidR="002717C0" w:rsidRDefault="00000000">
      <w:pPr>
        <w:spacing w:after="160"/>
      </w:pPr>
      <w:r>
        <w:rPr>
          <w:b/>
          <w:bCs/>
        </w:rPr>
        <w:t xml:space="preserve">The target sound. </w:t>
      </w:r>
      <w:r>
        <w:t>Clear, direct, and specific, closer to how a sharp in-house person talks than how an agency writes about itself. Confident without being showy. The popup line already live on the site, "you want architectural truth, not a pitch," is a good working example of the target voice. The current homepage H1, "Human Vision. Intelligent Technology. Exceptional Products." is the opposite of it: three abstract nouns that could belong to almost any company.</w:t>
      </w:r>
    </w:p>
    <w:p w14:paraId="2D98C661" w14:textId="77777777" w:rsidR="002717C0" w:rsidRDefault="00000000">
      <w:pPr>
        <w:spacing w:after="160"/>
      </w:pPr>
      <w:r>
        <w:rPr>
          <w:b/>
          <w:bCs/>
        </w:rPr>
        <w:t xml:space="preserve">Practical rules, carried over directly from the content-writing skill. </w:t>
      </w:r>
      <w:r>
        <w:t>No em dashes anywhere. Active voice. Short, varied sentences over uniform ones. No invented statistics. No jargon without a quick definition. Cut any word the sentence survives without.</w:t>
      </w:r>
    </w:p>
    <w:p w14:paraId="58FF4264" w14:textId="77777777" w:rsidR="002717C0" w:rsidRDefault="00000000">
      <w:pPr>
        <w:spacing w:after="160"/>
      </w:pPr>
      <w:r>
        <w:rPr>
          <w:b/>
          <w:bCs/>
        </w:rPr>
        <w:t xml:space="preserve">Extended to positioning specifically. </w:t>
      </w:r>
      <w:r>
        <w:t>Every claim traces to something real, a stat, a credential, a named case study, not an adjective doing the work alone. Speak to one buyer's real situation rather than trying to speak to everyone at once, which is the exact habit that produced the current "from startups to enterprises" line.</w:t>
      </w:r>
    </w:p>
    <w:p w14:paraId="53A2D749" w14:textId="77777777" w:rsidR="002717C0" w:rsidRDefault="00000000">
      <w:pPr>
        <w:pStyle w:val="Heading2"/>
        <w:spacing w:before="320" w:after="160"/>
      </w:pPr>
      <w:r>
        <w:t>8. What not to say</w:t>
      </w:r>
    </w:p>
    <w:p w14:paraId="2929E702" w14:textId="77777777" w:rsidR="002717C0" w:rsidRDefault="00000000">
      <w:pPr>
        <w:spacing w:after="160"/>
      </w:pPr>
      <w:r>
        <w:t>Each of these traces to a real, documented mistake already live on the site or found in the archive, plus a few new ones specific to the AI pivot. This is the section that stops the next version of the same problem.</w:t>
      </w:r>
    </w:p>
    <w:p w14:paraId="47900940" w14:textId="77777777" w:rsidR="002717C0" w:rsidRDefault="00000000">
      <w:pPr>
        <w:pStyle w:val="ListParagraph"/>
        <w:numPr>
          <w:ilvl w:val="0"/>
          <w:numId w:val="2"/>
        </w:numPr>
        <w:spacing w:after="120"/>
      </w:pPr>
      <w:r>
        <w:rPr>
          <w:b/>
          <w:bCs/>
        </w:rPr>
        <w:t xml:space="preserve">Don't claim "digital transformation company" </w:t>
      </w:r>
      <w:r>
        <w:t>without keyword and content support behind it. Right now that claim has none.</w:t>
      </w:r>
    </w:p>
    <w:p w14:paraId="7BBFA7B3" w14:textId="77777777" w:rsidR="002717C0" w:rsidRDefault="00000000">
      <w:pPr>
        <w:pStyle w:val="ListParagraph"/>
        <w:numPr>
          <w:ilvl w:val="0"/>
          <w:numId w:val="2"/>
        </w:numPr>
        <w:spacing w:after="120"/>
      </w:pPr>
      <w:r>
        <w:rPr>
          <w:b/>
          <w:bCs/>
        </w:rPr>
        <w:t xml:space="preserve">Don't hedge the audience </w:t>
      </w:r>
      <w:r>
        <w:t>with language like "from startups to enterprises" or "for businesses of every size." It tells nobody they're the right fit.</w:t>
      </w:r>
    </w:p>
    <w:p w14:paraId="02917ADD" w14:textId="77777777" w:rsidR="002717C0" w:rsidRDefault="00000000">
      <w:pPr>
        <w:pStyle w:val="ListParagraph"/>
        <w:numPr>
          <w:ilvl w:val="0"/>
          <w:numId w:val="2"/>
        </w:numPr>
        <w:spacing w:after="120"/>
      </w:pPr>
      <w:r>
        <w:rPr>
          <w:b/>
          <w:bCs/>
        </w:rPr>
        <w:t xml:space="preserve">Don't leave a competitor's name in TekRevol's own copy. </w:t>
      </w:r>
      <w:r>
        <w:t>This already happened once, live, when a service description referenced Belitsoft instead of TekRevol.</w:t>
      </w:r>
    </w:p>
    <w:p w14:paraId="22231514" w14:textId="77777777" w:rsidR="002717C0" w:rsidRDefault="00000000">
      <w:pPr>
        <w:pStyle w:val="ListParagraph"/>
        <w:numPr>
          <w:ilvl w:val="0"/>
          <w:numId w:val="2"/>
        </w:numPr>
        <w:spacing w:after="120"/>
      </w:pPr>
      <w:r>
        <w:rPr>
          <w:b/>
          <w:bCs/>
        </w:rPr>
        <w:t xml:space="preserve">Don't name a rival agency, platform, or AI tool in public-facing competitive messaging. </w:t>
      </w:r>
      <w:r>
        <w:t>Speak to the situation the prospect is in, not the vendor they're leaving.</w:t>
      </w:r>
    </w:p>
    <w:p w14:paraId="36EC5ADD" w14:textId="77777777" w:rsidR="002717C0" w:rsidRDefault="00000000">
      <w:pPr>
        <w:pStyle w:val="ListParagraph"/>
        <w:numPr>
          <w:ilvl w:val="0"/>
          <w:numId w:val="2"/>
        </w:numPr>
        <w:spacing w:after="120"/>
      </w:pPr>
      <w:r>
        <w:rPr>
          <w:b/>
          <w:bCs/>
        </w:rPr>
        <w:t xml:space="preserve">Don't claim mid-market as a served segment in lead-capture copy </w:t>
      </w:r>
      <w:r>
        <w:t>until the site's own Business Type field actually includes it as an option. Right now it doesn't.</w:t>
      </w:r>
    </w:p>
    <w:p w14:paraId="24669C6A" w14:textId="77777777" w:rsidR="002717C0" w:rsidRDefault="00000000">
      <w:pPr>
        <w:pStyle w:val="ListParagraph"/>
        <w:numPr>
          <w:ilvl w:val="0"/>
          <w:numId w:val="2"/>
        </w:numPr>
        <w:spacing w:after="120"/>
      </w:pPr>
      <w:r>
        <w:rPr>
          <w:b/>
          <w:bCs/>
        </w:rPr>
        <w:t xml:space="preserve">Don't publish home-based care product names or claims </w:t>
      </w:r>
      <w:r>
        <w:t>until the Rivana/CareOS naming question is resolved.</w:t>
      </w:r>
    </w:p>
    <w:p w14:paraId="0F8B56F7" w14:textId="77777777" w:rsidR="002717C0" w:rsidRDefault="00000000">
      <w:pPr>
        <w:pStyle w:val="ListParagraph"/>
        <w:numPr>
          <w:ilvl w:val="0"/>
          <w:numId w:val="2"/>
        </w:numPr>
        <w:spacing w:after="120"/>
      </w:pPr>
      <w:r>
        <w:rPr>
          <w:b/>
          <w:bCs/>
        </w:rPr>
        <w:t xml:space="preserve">Don't claim the four AI-first pillars as final </w:t>
      </w:r>
      <w:r>
        <w:t>in public copy until Decision D01 on Abeer's plan (the pillar names) is actually closed. Use the framing internally; don't publish it as settled.</w:t>
      </w:r>
    </w:p>
    <w:p w14:paraId="6F940E01" w14:textId="77777777" w:rsidR="002717C0" w:rsidRDefault="00000000">
      <w:pPr>
        <w:pStyle w:val="ListParagraph"/>
        <w:numPr>
          <w:ilvl w:val="0"/>
          <w:numId w:val="2"/>
        </w:numPr>
        <w:spacing w:after="120"/>
      </w:pPr>
      <w:r>
        <w:rPr>
          <w:b/>
          <w:bCs/>
        </w:rPr>
        <w:t xml:space="preserve">Don't state the Lovable partner listing, or any AI-builder-ecosystem status, before it's actually live. </w:t>
      </w:r>
      <w:r>
        <w:t>It's scheduled, not confirmed.</w:t>
      </w:r>
    </w:p>
    <w:p w14:paraId="1DEA391F" w14:textId="77777777" w:rsidR="002717C0" w:rsidRDefault="00000000">
      <w:pPr>
        <w:pStyle w:val="ListParagraph"/>
        <w:numPr>
          <w:ilvl w:val="0"/>
          <w:numId w:val="2"/>
        </w:numPr>
        <w:spacing w:after="120"/>
      </w:pPr>
      <w:r>
        <w:rPr>
          <w:b/>
          <w:bCs/>
        </w:rPr>
        <w:t xml:space="preserve">Don't claim speed or cost advantages from AI-assisted development </w:t>
      </w:r>
      <w:r>
        <w:t>without a real, piloted engagement behind the number.</w:t>
      </w:r>
    </w:p>
    <w:p w14:paraId="3D9E1E5F" w14:textId="77777777" w:rsidR="002717C0" w:rsidRDefault="00000000">
      <w:pPr>
        <w:pStyle w:val="ListParagraph"/>
        <w:numPr>
          <w:ilvl w:val="0"/>
          <w:numId w:val="2"/>
        </w:numPr>
        <w:spacing w:after="120"/>
      </w:pPr>
      <w:r>
        <w:rPr>
          <w:b/>
          <w:bCs/>
        </w:rPr>
        <w:t xml:space="preserve">Don't use em dashes, stacked rule-of-three phrasing, "whether X, Y, or Z" constructions, or false "from X to Y" ranges. </w:t>
      </w:r>
      <w:r>
        <w:t>These are the specific patterns that make copy sound generated rather than written, and they're already banned in TekRevol's own content-writing skill. This doc extends that ban to positioning and web copy, not just articles.</w:t>
      </w:r>
    </w:p>
    <w:p w14:paraId="7600009E" w14:textId="77777777" w:rsidR="002717C0" w:rsidRDefault="00000000">
      <w:pPr>
        <w:pStyle w:val="ListParagraph"/>
        <w:numPr>
          <w:ilvl w:val="0"/>
          <w:numId w:val="2"/>
        </w:numPr>
        <w:spacing w:after="120"/>
      </w:pPr>
      <w:r>
        <w:rPr>
          <w:b/>
          <w:bCs/>
        </w:rPr>
        <w:t xml:space="preserve">Don't invent a statistic to make a case study sound stronger. </w:t>
      </w:r>
      <w:r>
        <w:t>If the real number isn't documented, use the qualitative version instead.</w:t>
      </w:r>
    </w:p>
    <w:p w14:paraId="7924B2FE" w14:textId="77777777" w:rsidR="002717C0" w:rsidRDefault="00000000">
      <w:pPr>
        <w:pStyle w:val="Heading2"/>
        <w:spacing w:before="320" w:after="160"/>
      </w:pPr>
      <w:r>
        <w:lastRenderedPageBreak/>
        <w:t>9. How the message compresses by channel</w:t>
      </w:r>
    </w:p>
    <w:p w14:paraId="0FF3B562" w14:textId="77777777" w:rsidR="002717C0" w:rsidRDefault="00000000">
      <w:pPr>
        <w:spacing w:after="160"/>
      </w:pPr>
      <w:r>
        <w:t>Same core message, different length and emphasis depending on where it lands.</w:t>
      </w:r>
    </w:p>
    <w:p w14:paraId="138234DD" w14:textId="77777777" w:rsidR="002717C0" w:rsidRDefault="00000000">
      <w:pPr>
        <w:spacing w:after="160"/>
      </w:pPr>
      <w:r>
        <w:rPr>
          <w:b/>
          <w:bCs/>
        </w:rPr>
        <w:t xml:space="preserve">Homepage hero. </w:t>
      </w:r>
      <w:r>
        <w:t>The parent category plus one sharp differentiator line. Not the full positioning statement, the shortest true version of it. Replace the current H1 with something that names what TekRevol is and who it's for in one line, the way the popup qualifier already does elsewhere on the same page.</w:t>
      </w:r>
    </w:p>
    <w:p w14:paraId="0532C7F9" w14:textId="77777777" w:rsidR="002717C0" w:rsidRDefault="00000000">
      <w:pPr>
        <w:spacing w:after="160"/>
      </w:pPr>
      <w:r>
        <w:rPr>
          <w:b/>
          <w:bCs/>
        </w:rPr>
        <w:t xml:space="preserve">GMB listing. </w:t>
      </w:r>
      <w:r>
        <w:t>Category, location, and one trust signal, kept short since this is read fast and often on mobile. This connects directly to the GMB Experiment work already scoped: fix the category and description on the 8 underperforming US profiles before any paid spend, using this same positioning as the source of truth for what the listing should say.</w:t>
      </w:r>
    </w:p>
    <w:p w14:paraId="082E4C17" w14:textId="77777777" w:rsidR="002717C0" w:rsidRDefault="00000000">
      <w:pPr>
        <w:spacing w:after="160"/>
      </w:pPr>
      <w:r>
        <w:rPr>
          <w:b/>
          <w:bCs/>
        </w:rPr>
        <w:t xml:space="preserve">Ad headline. </w:t>
      </w:r>
      <w:r>
        <w:t>Lead with the buyer's situation, not TekRevol's category. "AI build stalled? We finish it" reaches a founder differently than "Software Development Company" ever will. This is the same logic behind the content and lead-magnet experiment: educational, situation-led content converts better than a straight category pitch.</w:t>
      </w:r>
    </w:p>
    <w:p w14:paraId="7329BD68" w14:textId="77777777" w:rsidR="002717C0" w:rsidRDefault="00000000">
      <w:pPr>
        <w:spacing w:after="160"/>
      </w:pPr>
      <w:r>
        <w:rPr>
          <w:b/>
          <w:bCs/>
        </w:rPr>
        <w:t xml:space="preserve">Case study opener. </w:t>
      </w:r>
      <w:r>
        <w:t>Challenge, then Solution, then Impact, per the content-writing skill's own rule. Open on the client's real problem, not on TekRevol.</w:t>
      </w:r>
    </w:p>
    <w:p w14:paraId="235441AF" w14:textId="77777777" w:rsidR="002717C0" w:rsidRDefault="00000000">
      <w:pPr>
        <w:spacing w:after="160"/>
      </w:pPr>
      <w:r>
        <w:rPr>
          <w:b/>
          <w:bCs/>
        </w:rPr>
        <w:t xml:space="preserve">Lead magnet or gated content. </w:t>
      </w:r>
      <w:r>
        <w:t>This is where the fuller positioning statement and the rescue narrative earn their length. A reader who's already opted in for more detail is the right audience for the one-paragraph version, not the one-liner.</w:t>
      </w:r>
    </w:p>
    <w:sectPr w:rsidR="002717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F31F1"/>
    <w:multiLevelType w:val="hybridMultilevel"/>
    <w:tmpl w:val="92403E3C"/>
    <w:lvl w:ilvl="0" w:tplc="D666C0AA">
      <w:start w:val="1"/>
      <w:numFmt w:val="bullet"/>
      <w:lvlText w:val="●"/>
      <w:lvlJc w:val="left"/>
      <w:pPr>
        <w:ind w:left="720" w:hanging="360"/>
      </w:pPr>
    </w:lvl>
    <w:lvl w:ilvl="1" w:tplc="F4142C98">
      <w:start w:val="1"/>
      <w:numFmt w:val="bullet"/>
      <w:lvlText w:val="○"/>
      <w:lvlJc w:val="left"/>
      <w:pPr>
        <w:ind w:left="1440" w:hanging="360"/>
      </w:pPr>
    </w:lvl>
    <w:lvl w:ilvl="2" w:tplc="45B8FFA8">
      <w:start w:val="1"/>
      <w:numFmt w:val="bullet"/>
      <w:lvlText w:val="■"/>
      <w:lvlJc w:val="left"/>
      <w:pPr>
        <w:ind w:left="2160" w:hanging="360"/>
      </w:pPr>
    </w:lvl>
    <w:lvl w:ilvl="3" w:tplc="8CDC6FE0">
      <w:start w:val="1"/>
      <w:numFmt w:val="bullet"/>
      <w:lvlText w:val="●"/>
      <w:lvlJc w:val="left"/>
      <w:pPr>
        <w:ind w:left="2880" w:hanging="360"/>
      </w:pPr>
    </w:lvl>
    <w:lvl w:ilvl="4" w:tplc="568498FA">
      <w:start w:val="1"/>
      <w:numFmt w:val="bullet"/>
      <w:lvlText w:val="○"/>
      <w:lvlJc w:val="left"/>
      <w:pPr>
        <w:ind w:left="3600" w:hanging="360"/>
      </w:pPr>
    </w:lvl>
    <w:lvl w:ilvl="5" w:tplc="14C0904A">
      <w:start w:val="1"/>
      <w:numFmt w:val="bullet"/>
      <w:lvlText w:val="■"/>
      <w:lvlJc w:val="left"/>
      <w:pPr>
        <w:ind w:left="4320" w:hanging="360"/>
      </w:pPr>
    </w:lvl>
    <w:lvl w:ilvl="6" w:tplc="073CEED4">
      <w:start w:val="1"/>
      <w:numFmt w:val="bullet"/>
      <w:lvlText w:val="●"/>
      <w:lvlJc w:val="left"/>
      <w:pPr>
        <w:ind w:left="5040" w:hanging="360"/>
      </w:pPr>
    </w:lvl>
    <w:lvl w:ilvl="7" w:tplc="00D419B4">
      <w:start w:val="1"/>
      <w:numFmt w:val="bullet"/>
      <w:lvlText w:val="●"/>
      <w:lvlJc w:val="left"/>
      <w:pPr>
        <w:ind w:left="5760" w:hanging="360"/>
      </w:pPr>
    </w:lvl>
    <w:lvl w:ilvl="8" w:tplc="86F628B8">
      <w:start w:val="1"/>
      <w:numFmt w:val="bullet"/>
      <w:lvlText w:val="●"/>
      <w:lvlJc w:val="left"/>
      <w:pPr>
        <w:ind w:left="6480" w:hanging="360"/>
      </w:pPr>
    </w:lvl>
  </w:abstractNum>
  <w:abstractNum w:abstractNumId="1" w15:restartNumberingAfterBreak="0">
    <w:nsid w:val="54F17B09"/>
    <w:multiLevelType w:val="hybridMultilevel"/>
    <w:tmpl w:val="CD7EF076"/>
    <w:lvl w:ilvl="0" w:tplc="A936EA5C">
      <w:start w:val="1"/>
      <w:numFmt w:val="bullet"/>
      <w:lvlText w:val="•"/>
      <w:lvlJc w:val="left"/>
      <w:pPr>
        <w:ind w:left="720" w:hanging="360"/>
      </w:pPr>
    </w:lvl>
    <w:lvl w:ilvl="1" w:tplc="5F8CD72C">
      <w:numFmt w:val="decimal"/>
      <w:lvlText w:val=""/>
      <w:lvlJc w:val="left"/>
    </w:lvl>
    <w:lvl w:ilvl="2" w:tplc="63449B70">
      <w:numFmt w:val="decimal"/>
      <w:lvlText w:val=""/>
      <w:lvlJc w:val="left"/>
    </w:lvl>
    <w:lvl w:ilvl="3" w:tplc="9B5C9A88">
      <w:numFmt w:val="decimal"/>
      <w:lvlText w:val=""/>
      <w:lvlJc w:val="left"/>
    </w:lvl>
    <w:lvl w:ilvl="4" w:tplc="B91ACA0A">
      <w:numFmt w:val="decimal"/>
      <w:lvlText w:val=""/>
      <w:lvlJc w:val="left"/>
    </w:lvl>
    <w:lvl w:ilvl="5" w:tplc="63C86E8E">
      <w:numFmt w:val="decimal"/>
      <w:lvlText w:val=""/>
      <w:lvlJc w:val="left"/>
    </w:lvl>
    <w:lvl w:ilvl="6" w:tplc="AE20959C">
      <w:numFmt w:val="decimal"/>
      <w:lvlText w:val=""/>
      <w:lvlJc w:val="left"/>
    </w:lvl>
    <w:lvl w:ilvl="7" w:tplc="258CBD66">
      <w:numFmt w:val="decimal"/>
      <w:lvlText w:val=""/>
      <w:lvlJc w:val="left"/>
    </w:lvl>
    <w:lvl w:ilvl="8" w:tplc="812C0472">
      <w:numFmt w:val="decimal"/>
      <w:lvlText w:val=""/>
      <w:lvlJc w:val="left"/>
    </w:lvl>
  </w:abstractNum>
  <w:num w:numId="1" w16cid:durableId="357321136">
    <w:abstractNumId w:val="0"/>
    <w:lvlOverride w:ilvl="0">
      <w:startOverride w:val="1"/>
    </w:lvlOverride>
  </w:num>
  <w:num w:numId="2" w16cid:durableId="885482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7C0"/>
    <w:rsid w:val="002717C0"/>
    <w:rsid w:val="008E3BCC"/>
    <w:rsid w:val="009C3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A838"/>
  <w15:docId w15:val="{A5C87119-E446-464B-9374-21F0C8CD8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2539</Words>
  <Characters>14473</Characters>
  <Application>Microsoft Office Word</Application>
  <DocSecurity>0</DocSecurity>
  <Lines>120</Lines>
  <Paragraphs>33</Paragraphs>
  <ScaleCrop>false</ScaleCrop>
  <Company/>
  <LinksUpToDate>false</LinksUpToDate>
  <CharactersWithSpaces>16979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Huzaifa Murad</cp:lastModifiedBy>
  <cp:revision>2</cp:revision>
  <dcterms:created xsi:type="dcterms:W3CDTF">2026-09-30T13:37:00Z</dcterms:created>
  <dcterms:modified xsi:type="dcterms:W3CDTF">2026-09-30T13:40:00Z</dcterms:modified>
</cp:coreProperties>
</file>