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300"/>
      </w:pPr>
      <w:r>
        <w:rPr>
          <w:rFonts w:ascii="Aptos" w:cs="Aptos" w:eastAsia="Aptos" w:hAnsi="Aptos"/>
          <w:b/>
          <w:bCs/>
          <w:color w:val="0E9A8D"/>
          <w:spacing w:val="60"/>
          <w:sz w:val="20"/>
          <w:szCs w:val="20"/>
        </w:rPr>
        <w:t xml:space="preserve">POWER ⚡ SECURE</w:t>
      </w:r>
    </w:p>
    <w:p>
      <w:pPr>
        <w:spacing w:after="70"/>
      </w:pPr>
      <w:r>
        <w:rPr>
          <w:rFonts w:ascii="Aptos" w:cs="Aptos" w:eastAsia="Aptos" w:hAnsi="Aptos"/>
          <w:b/>
          <w:bCs/>
          <w:color w:val="0A1B3D"/>
          <w:sz w:val="50"/>
          <w:szCs w:val="50"/>
        </w:rPr>
        <w:t xml:space="preserve">NEPRA Landing Page</w:t>
      </w:r>
    </w:p>
    <w:p>
      <w:pPr>
        <w:spacing w:after="240"/>
      </w:pPr>
      <w:r>
        <w:rPr>
          <w:rFonts w:ascii="Aptos" w:cs="Aptos" w:eastAsia="Aptos" w:hAnsi="Aptos"/>
          <w:color w:val="1F6FEB"/>
          <w:sz w:val="28"/>
          <w:szCs w:val="28"/>
        </w:rPr>
        <w:t xml:space="preserve">Content specification for design</w:t>
      </w:r>
    </w:p>
    <w:p>
      <w:pPr>
        <w:pBdr>
          <w:bottom w:val="single" w:color="D5DCE6" w:sz="6"/>
        </w:pBdr>
        <w:spacing w:after="100" w:before="100"/>
      </w:pPr>
      <w:r>
        <w:rPr>
          <w:rFonts w:ascii="Aptos" w:cs="Aptos" w:eastAsia="Aptos" w:hAnsi="Aptos"/>
          <w:sz w:val="21"/>
          <w:szCs w:val="21"/>
        </w:rPr>
        <w:t xml:space="preserve"/>
      </w:r>
    </w:p>
    <w:p>
      <w:pPr>
        <w:spacing w:after="120" w:line="276"/>
      </w:pPr>
      <w:r>
        <w:rPr>
          <w:rFonts w:ascii="Aptos" w:cs="Aptos" w:eastAsia="Aptos" w:hAnsi="Aptos"/>
          <w:b/>
          <w:bCs/>
          <w:sz w:val="21"/>
          <w:szCs w:val="21"/>
        </w:rPr>
        <w:t xml:space="preserve">Page: </w:t>
      </w:r>
      <w:r>
        <w:rPr>
          <w:rFonts w:ascii="Aptos" w:cs="Aptos" w:eastAsia="Aptos" w:hAnsi="Aptos"/>
          <w:sz w:val="21"/>
          <w:szCs w:val="21"/>
        </w:rPr>
        <w:t xml:space="preserve">/services/nepra-it-ot-compliance</w:t>
      </w:r>
    </w:p>
    <w:p>
      <w:pPr>
        <w:spacing w:after="120" w:line="276"/>
      </w:pPr>
      <w:r>
        <w:rPr>
          <w:rFonts w:ascii="Aptos" w:cs="Aptos" w:eastAsia="Aptos" w:hAnsi="Aptos"/>
          <w:b/>
          <w:bCs/>
          <w:sz w:val="21"/>
          <w:szCs w:val="21"/>
        </w:rPr>
        <w:t xml:space="preserve">Prepared for: </w:t>
      </w:r>
      <w:r>
        <w:rPr>
          <w:rFonts w:ascii="Aptos" w:cs="Aptos" w:eastAsia="Aptos" w:hAnsi="Aptos"/>
          <w:sz w:val="21"/>
          <w:szCs w:val="21"/>
        </w:rPr>
        <w:t xml:space="preserve">xLoop Digital — design team</w:t>
      </w:r>
    </w:p>
    <w:p>
      <w:pPr>
        <w:spacing w:after="120" w:line="276"/>
      </w:pPr>
      <w:r>
        <w:rPr>
          <w:rFonts w:ascii="Aptos" w:cs="Aptos" w:eastAsia="Aptos" w:hAnsi="Aptos"/>
          <w:b/>
          <w:bCs/>
          <w:sz w:val="21"/>
          <w:szCs w:val="21"/>
        </w:rPr>
        <w:t xml:space="preserve">Date: </w:t>
      </w:r>
      <w:r>
        <w:rPr>
          <w:rFonts w:ascii="Aptos" w:cs="Aptos" w:eastAsia="Aptos" w:hAnsi="Aptos"/>
          <w:sz w:val="21"/>
          <w:szCs w:val="21"/>
        </w:rPr>
        <w:t xml:space="preserve">25 August 2026</w:t>
      </w:r>
    </w:p>
    <w:p>
      <w:pPr>
        <w:spacing w:after="120" w:line="276"/>
      </w:pPr>
      <w:r>
        <w:rPr>
          <w:rFonts w:ascii="Aptos" w:cs="Aptos" w:eastAsia="Aptos" w:hAnsi="Aptos"/>
          <w:b/>
          <w:bCs/>
          <w:sz w:val="21"/>
          <w:szCs w:val="21"/>
        </w:rPr>
        <w:t xml:space="preserve">Companion doc: </w:t>
      </w:r>
      <w:r>
        <w:rPr>
          <w:rFonts w:ascii="Aptos" w:cs="Aptos" w:eastAsia="Aptos" w:hAnsi="Aptos"/>
          <w:sz w:val="21"/>
          <w:szCs w:val="21"/>
        </w:rPr>
        <w:t xml:space="preserve">2026-08-25-nepra-website-copy-deck.docx (homepage placement, metadata, removal runbook)</w:t>
      </w:r>
    </w:p>
    <w:p>
      <w:pPr>
        <w:spacing w:after="340"/>
      </w:pPr>
      <w:r>
        <w:rPr>
          <w:rFonts w:ascii="Aptos" w:cs="Aptos" w:eastAsia="Aptos" w:hAnsi="Aptos"/>
          <w:sz w:val="21"/>
          <w:szCs w:val="21"/>
        </w:rPr>
        <w:t xml:space="preserve"/>
      </w:r>
    </w:p>
    <w:tbl>
      <w:tblPr>
        <w:tblW w:type="dxa" w:w="9026"/>
        <w:tblBorders>
          <w:top w:val="single" w:color="F2F5FA" w:sz="2"/>
          <w:left w:val="single" w:color="1F6FEB" w:sz="16"/>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50"/>
              <w:left w:type="dxa" w:w="210"/>
              <w:bottom w:type="dxa" w:w="150"/>
              <w:right w:type="dxa" w:w="210"/>
            </w:tcMar>
          </w:tcPr>
          <w:p>
            <w:pPr>
              <w:spacing w:after="90"/>
            </w:pPr>
            <w:r>
              <w:rPr>
                <w:rFonts w:ascii="Aptos" w:cs="Aptos" w:eastAsia="Aptos" w:hAnsi="Aptos"/>
                <w:b/>
                <w:bCs/>
                <w:color w:val="0A1B3D"/>
                <w:sz w:val="22"/>
                <w:szCs w:val="22"/>
              </w:rPr>
              <w:t xml:space="preserve">Everything in this document is final copy.</w:t>
            </w:r>
          </w:p>
          <w:p>
            <w:pPr>
              <w:spacing w:after="80"/>
            </w:pPr>
            <w:r>
              <w:rPr>
                <w:rFonts w:ascii="Aptos" w:cs="Aptos" w:eastAsia="Aptos" w:hAnsi="Aptos"/>
                <w:sz w:val="20"/>
                <w:szCs w:val="20"/>
              </w:rPr>
              <w:t xml:space="preserve">Nine blocks, in build order. Each one gives you the exact words, the role of every line, its character count, and the layout and asset notes needed to lay it out. Where a line is length-critical, the constraint is stated. Nothing here is placeholder.</w:t>
            </w:r>
          </w:p>
          <w:p>
            <w:r>
              <w:rPr>
                <w:rFonts w:ascii="Aptos" w:cs="Aptos" w:eastAsia="Aptos" w:hAnsi="Aptos"/>
                <w:sz w:val="20"/>
                <w:szCs w:val="20"/>
              </w:rPr>
              <w:t xml:space="preserve">Two things are deliberately absent, so nobody goes looking for them: there is no letter-recipient acknowledgement, and there is no “how the audit runs” process section.</w:t>
            </w:r>
          </w:p>
        </w:tc>
      </w:tr>
    </w:tbl>
    <w:p>
      <w:r>
        <w:br w:type="page"/>
      </w:r>
    </w:p>
    <w:p>
      <w:pPr>
        <w:pStyle w:val="Heading1"/>
        <w:spacing w:after="140" w:before="360"/>
      </w:pPr>
      <w:r>
        <w:rPr>
          <w:rFonts w:ascii="Aptos" w:cs="Aptos" w:eastAsia="Aptos" w:hAnsi="Aptos"/>
          <w:b/>
          <w:bCs/>
          <w:color w:val="0A1B3D"/>
          <w:sz w:val="32"/>
          <w:szCs w:val="32"/>
        </w:rPr>
        <w:t xml:space="preserve">Page at a glance</w:t>
      </w:r>
    </w:p>
    <w:p>
      <w:pPr>
        <w:spacing w:after="120" w:line="276"/>
      </w:pPr>
      <w:r>
        <w:rPr>
          <w:rFonts w:ascii="Aptos" w:cs="Aptos" w:eastAsia="Aptos" w:hAnsi="Aptos"/>
          <w:sz w:val="21"/>
          <w:szCs w:val="21"/>
        </w:rPr>
        <w:t xml:space="preserve">Nine blocks. The page is built for two readers in one pass: a chief executive who needs the obligation and the risk inside fifteen seconds, and the plant IT manager they forward it to, who needs clause-level detail. Executive content sits above, technical content below. Do not reorder.</w:t>
      </w:r>
    </w:p>
    <w:p>
      <w:pPr>
        <w:spacing w:after="60"/>
      </w:pPr>
      <w:r>
        <w:rPr>
          <w:rFonts w:ascii="Aptos" w:cs="Aptos" w:eastAsia="Aptos" w:hAnsi="Aptos"/>
          <w:sz w:val="21"/>
          <w:szCs w:val="21"/>
        </w:rPr>
        <w:t xml:space="preserve"/>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600"/>
        <w:gridCol w:w="1900"/>
        <w:gridCol w:w="4626"/>
        <w:gridCol w:w="1900"/>
      </w:tblGrid>
      <w:tr>
        <w:trPr>
          <w:tblHeader/>
        </w:trPr>
        <w:tc>
          <w:tcPr>
            <w:tcW w:type="dxa" w:w="6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w:t>
            </w:r>
          </w:p>
        </w:tc>
        <w:tc>
          <w:tcPr>
            <w:tcW w:type="dxa" w:w="19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Block</w:t>
            </w:r>
          </w:p>
        </w:tc>
        <w:tc>
          <w:tcPr>
            <w:tcW w:type="dxa" w:w="4626"/>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Job it does</w:t>
            </w:r>
          </w:p>
        </w:tc>
        <w:tc>
          <w:tcPr>
            <w:tcW w:type="dxa" w:w="19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Reader</w:t>
            </w:r>
          </w:p>
        </w:tc>
      </w:tr>
      <w:tr>
        <w:tc>
          <w:tcPr>
            <w:tcW w:type="dxa" w:w="6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01</w:t>
            </w:r>
          </w:p>
        </w:tc>
        <w:tc>
          <w:tcPr>
            <w:tcW w:type="dxa" w:w="19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Hero</w:t>
            </w:r>
          </w:p>
        </w:tc>
        <w:tc>
          <w:tcPr>
            <w:tcW w:type="dxa" w:w="46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Name the service, state what it is built on, put the phone number in reach.</w:t>
            </w:r>
          </w:p>
        </w:tc>
        <w:tc>
          <w:tcPr>
            <w:tcW w:type="dxa" w:w="19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Executive</w:t>
            </w:r>
          </w:p>
        </w:tc>
      </w:tr>
      <w:tr>
        <w:tc>
          <w:tcPr>
            <w:tcW w:type="dxa" w:w="6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02</w:t>
            </w:r>
          </w:p>
        </w:tc>
        <w:tc>
          <w:tcPr>
            <w:tcW w:type="dxa" w:w="19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The obligation</w:t>
            </w:r>
          </w:p>
        </w:tc>
        <w:tc>
          <w:tcPr>
            <w:tcW w:type="dxa" w:w="46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Make the legal requirement and its consequences legible in plain language.</w:t>
            </w:r>
          </w:p>
        </w:tc>
        <w:tc>
          <w:tcPr>
            <w:tcW w:type="dxa" w:w="19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Executive</w:t>
            </w:r>
          </w:p>
        </w:tc>
      </w:tr>
      <w:tr>
        <w:tc>
          <w:tcPr>
            <w:tcW w:type="dxa" w:w="6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03</w:t>
            </w:r>
          </w:p>
        </w:tc>
        <w:tc>
          <w:tcPr>
            <w:tcW w:type="dxa" w:w="19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Four services</w:t>
            </w:r>
          </w:p>
        </w:tc>
        <w:tc>
          <w:tcPr>
            <w:tcW w:type="dxa" w:w="46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The bundle from the mailed flyer — audit, VAPT, policy, training.</w:t>
            </w:r>
          </w:p>
        </w:tc>
        <w:tc>
          <w:tcPr>
            <w:tcW w:type="dxa" w:w="19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Both</w:t>
            </w:r>
          </w:p>
        </w:tc>
      </w:tr>
      <w:tr>
        <w:tc>
          <w:tcPr>
            <w:tcW w:type="dxa" w:w="6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04</w:t>
            </w:r>
          </w:p>
        </w:tc>
        <w:tc>
          <w:tcPr>
            <w:tcW w:type="dxa" w:w="19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Coverage table</w:t>
            </w:r>
          </w:p>
        </w:tc>
        <w:tc>
          <w:tcPr>
            <w:tcW w:type="dxa" w:w="46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Regulation-by-regulation proof of scope. The most quotable block on the page.</w:t>
            </w:r>
          </w:p>
        </w:tc>
        <w:tc>
          <w:tcPr>
            <w:tcW w:type="dxa" w:w="19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Technical</w:t>
            </w:r>
          </w:p>
        </w:tc>
      </w:tr>
      <w:tr>
        <w:tc>
          <w:tcPr>
            <w:tcW w:type="dxa" w:w="6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05</w:t>
            </w:r>
          </w:p>
        </w:tc>
        <w:tc>
          <w:tcPr>
            <w:tcW w:type="dxa" w:w="19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Mid-page CTA</w:t>
            </w:r>
          </w:p>
        </w:tc>
        <w:tc>
          <w:tcPr>
            <w:tcW w:type="dxa" w:w="46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Catch the reader who is convinced before the credentials.</w:t>
            </w:r>
          </w:p>
        </w:tc>
        <w:tc>
          <w:tcPr>
            <w:tcW w:type="dxa" w:w="19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Both</w:t>
            </w:r>
          </w:p>
        </w:tc>
      </w:tr>
      <w:tr>
        <w:tc>
          <w:tcPr>
            <w:tcW w:type="dxa" w:w="6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06</w:t>
            </w:r>
          </w:p>
        </w:tc>
        <w:tc>
          <w:tcPr>
            <w:tcW w:type="dxa" w:w="19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What you receive</w:t>
            </w:r>
          </w:p>
        </w:tc>
        <w:tc>
          <w:tcPr>
            <w:tcW w:type="dxa" w:w="46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Turn an abstract service into a list of documents.</w:t>
            </w:r>
          </w:p>
        </w:tc>
        <w:tc>
          <w:tcPr>
            <w:tcW w:type="dxa" w:w="19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Technical</w:t>
            </w:r>
          </w:p>
        </w:tc>
      </w:tr>
      <w:tr>
        <w:tc>
          <w:tcPr>
            <w:tcW w:type="dxa" w:w="6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07</w:t>
            </w:r>
          </w:p>
        </w:tc>
        <w:tc>
          <w:tcPr>
            <w:tcW w:type="dxa" w:w="19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Why xLoop</w:t>
            </w:r>
          </w:p>
        </w:tc>
        <w:tc>
          <w:tcPr>
            <w:tcW w:type="dxa" w:w="46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Credentials, stated conservatively.</w:t>
            </w:r>
          </w:p>
        </w:tc>
        <w:tc>
          <w:tcPr>
            <w:tcW w:type="dxa" w:w="19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Both</w:t>
            </w:r>
          </w:p>
        </w:tc>
      </w:tr>
      <w:tr>
        <w:tc>
          <w:tcPr>
            <w:tcW w:type="dxa" w:w="6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08</w:t>
            </w:r>
          </w:p>
        </w:tc>
        <w:tc>
          <w:tcPr>
            <w:tcW w:type="dxa" w:w="19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FAQ</w:t>
            </w:r>
          </w:p>
        </w:tc>
        <w:tc>
          <w:tcPr>
            <w:tcW w:type="dxa" w:w="46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Answer the six real questions. Also the block AI answer engines quote.</w:t>
            </w:r>
          </w:p>
        </w:tc>
        <w:tc>
          <w:tcPr>
            <w:tcW w:type="dxa" w:w="19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Both / AI</w:t>
            </w:r>
          </w:p>
        </w:tc>
      </w:tr>
      <w:tr>
        <w:tc>
          <w:tcPr>
            <w:tcW w:type="dxa" w:w="6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09</w:t>
            </w:r>
          </w:p>
        </w:tc>
        <w:tc>
          <w:tcPr>
            <w:tcW w:type="dxa" w:w="19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Closing CTA</w:t>
            </w:r>
          </w:p>
        </w:tc>
        <w:tc>
          <w:tcPr>
            <w:tcW w:type="dxa" w:w="46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Phone and email, one more time, with the flyer’s own tagline.</w:t>
            </w:r>
          </w:p>
        </w:tc>
        <w:tc>
          <w:tcPr>
            <w:tcW w:type="dxa" w:w="19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Both</w:t>
            </w:r>
          </w:p>
        </w:tc>
      </w:tr>
    </w:tbl>
    <w:p>
      <w:pPr>
        <w:spacing w:after="140"/>
      </w:pPr>
      <w:r>
        <w:rPr>
          <w:rFonts w:ascii="Aptos" w:cs="Aptos" w:eastAsia="Aptos" w:hAnsi="Aptos"/>
          <w:sz w:val="21"/>
          <w:szCs w:val="21"/>
        </w:rPr>
        <w:t xml:space="preserve"/>
      </w:r>
    </w:p>
    <w:p>
      <w:pPr>
        <w:pStyle w:val="Heading2"/>
        <w:spacing w:after="110" w:before="280"/>
      </w:pPr>
      <w:r>
        <w:rPr>
          <w:rFonts w:ascii="Aptos" w:cs="Aptos" w:eastAsia="Aptos" w:hAnsi="Aptos"/>
          <w:b/>
          <w:bCs/>
          <w:color w:val="0A1B3D"/>
          <w:sz w:val="25"/>
          <w:szCs w:val="25"/>
        </w:rPr>
        <w:t xml:space="preserve">Type roles — reuse what the homepage already has</w:t>
      </w:r>
    </w:p>
    <w:p>
      <w:pPr>
        <w:spacing w:after="120" w:line="276"/>
      </w:pPr>
      <w:r>
        <w:rPr>
          <w:rFonts w:ascii="Aptos" w:cs="Aptos" w:eastAsia="Aptos" w:hAnsi="Aptos"/>
          <w:sz w:val="21"/>
          <w:szCs w:val="21"/>
        </w:rPr>
        <w:t xml:space="preserve">Every role below already exists as a component in the homepage revamp. This page should not introduce new type styles.</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2400"/>
        <w:gridCol w:w="6626"/>
      </w:tblGrid>
      <w:tr>
        <w:trPr>
          <w:tblHeader/>
        </w:trPr>
        <w:tc>
          <w:tcPr>
            <w:tcW w:type="dxa" w:w="24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Role in this doc</w:t>
            </w:r>
          </w:p>
        </w:tc>
        <w:tc>
          <w:tcPr>
            <w:tcW w:type="dxa" w:w="6626"/>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Existing homepage equivalent</w:t>
            </w:r>
          </w:p>
        </w:tc>
      </w:tr>
      <w:tr>
        <w:tc>
          <w:tcPr>
            <w:tcW w:type="dxa" w:w="24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EYEBROW</w:t>
            </w:r>
          </w:p>
        </w:tc>
        <w:tc>
          <w:tcPr>
            <w:tcW w:type="dxa" w:w="66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The uppercase micro-label with the leading dash, as used for “— AI SECURITY”. Mono or condensed, letterspaced, cyan.</w:t>
            </w:r>
          </w:p>
        </w:tc>
      </w:tr>
      <w:tr>
        <w:tc>
          <w:tcPr>
            <w:tcW w:type="dxa" w:w="24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H1 / H2</w:t>
            </w:r>
          </w:p>
        </w:tc>
        <w:tc>
          <w:tcPr>
            <w:tcW w:type="dxa" w:w="66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The band headline, as used for “97% of Organizations Using GenAI…”. White, tight leading, with the second clause optionally in blue.</w:t>
            </w:r>
          </w:p>
        </w:tc>
      </w:tr>
      <w:tr>
        <w:tc>
          <w:tcPr>
            <w:tcW w:type="dxa" w:w="24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BODY</w:t>
            </w:r>
          </w:p>
        </w:tc>
        <w:tc>
          <w:tcPr>
            <w:tcW w:type="dxa" w:w="66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The band supporting paragraph. Muted grey-blue, max ~48 characters per line at desktop.</w:t>
            </w:r>
          </w:p>
        </w:tc>
      </w:tr>
      <w:tr>
        <w:tc>
          <w:tcPr>
            <w:tcW w:type="dxa" w:w="24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CARD TITLE / CARD BODY</w:t>
            </w:r>
          </w:p>
        </w:tc>
        <w:tc>
          <w:tcPr>
            <w:tcW w:type="dxa" w:w="66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The capability cards in “Our Core AI &amp; Data Capabilities”.</w:t>
            </w:r>
          </w:p>
        </w:tc>
      </w:tr>
      <w:tr>
        <w:tc>
          <w:tcPr>
            <w:tcW w:type="dxa" w:w="24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BUTTON</w:t>
            </w:r>
          </w:p>
        </w:tc>
        <w:tc>
          <w:tcPr>
            <w:tcW w:type="dxa" w:w="66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The outlined pill, as used for “Get Your AI Security Score →”.</w:t>
            </w:r>
          </w:p>
        </w:tc>
      </w:tr>
      <w:tr>
        <w:tc>
          <w:tcPr>
            <w:tcW w:type="dxa" w:w="24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SECONDARY LINK</w:t>
            </w:r>
          </w:p>
        </w:tc>
        <w:tc>
          <w:tcPr>
            <w:tcW w:type="dxa" w:w="66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The quiet line under the pill, as used for the “AI Readiness Assessment instead →” line.</w:t>
            </w:r>
          </w:p>
        </w:tc>
      </w:tr>
    </w:tbl>
    <w:p>
      <w:pPr>
        <w:spacing w:after="140"/>
      </w:pPr>
      <w:r>
        <w:rPr>
          <w:rFonts w:ascii="Aptos" w:cs="Aptos" w:eastAsia="Aptos" w:hAnsi="Aptos"/>
          <w:sz w:val="21"/>
          <w:szCs w:val="21"/>
        </w:rPr>
        <w:t xml:space="preserve"/>
      </w:r>
    </w:p>
    <w:tbl>
      <w:tblPr>
        <w:tblW w:type="dxa" w:w="9026"/>
        <w:tblBorders>
          <w:top w:val="single" w:color="FFF4E5" w:sz="2"/>
          <w:left w:val="single" w:color="F59E0B" w:sz="16"/>
          <w:bottom w:val="single" w:color="FFF4E5" w:sz="2"/>
          <w:right w:val="single" w:color="FFF4E5" w:sz="2"/>
          <w:insideH w:val="none" w:color="FFF4E5" w:sz="0"/>
          <w:insideV w:val="none" w:color="FFF4E5" w:sz="0"/>
        </w:tblBorders>
      </w:tblPr>
      <w:tblGrid>
        <w:gridCol w:w="9026"/>
      </w:tblGrid>
      <w:tr>
        <w:tc>
          <w:tcPr>
            <w:tcW w:type="dxa" w:w="9026"/>
            <w:shd w:fill="FFF4E5" w:color="auto" w:val="clear"/>
            <w:tcMar>
              <w:top w:type="dxa" w:w="150"/>
              <w:left w:type="dxa" w:w="210"/>
              <w:bottom w:type="dxa" w:w="150"/>
              <w:right w:type="dxa" w:w="210"/>
            </w:tcMar>
          </w:tcPr>
          <w:p>
            <w:r>
              <w:rPr>
                <w:rFonts w:ascii="Aptos" w:cs="Aptos" w:eastAsia="Aptos" w:hAnsi="Aptos"/>
                <w:b/>
                <w:bCs/>
                <w:color w:val="B45309"/>
                <w:sz w:val="16"/>
                <w:szCs w:val="16"/>
              </w:rPr>
              <w:t xml:space="preserve">DESIGN NOTE  </w:t>
            </w:r>
            <w:r>
              <w:rPr>
                <w:rFonts w:ascii="Aptos" w:cs="Aptos" w:eastAsia="Aptos" w:hAnsi="Aptos"/>
                <w:sz w:val="20"/>
                <w:szCs w:val="20"/>
              </w:rPr>
              <w:t xml:space="preserve">The existing AI Security band on the homepage contains leftover working text — “Secondary line beneath: Building something broader?”. That is an editing artefact, not copy. It should be cleaned up while you are in the file.</w:t>
            </w:r>
          </w:p>
        </w:tc>
      </w:tr>
    </w:tbl>
    <w:p>
      <w:r>
        <w:br w:type="page"/>
      </w:r>
    </w:p>
    <w:p>
      <w:pPr>
        <w:pBdr>
          <w:top w:val="single" w:color="1F6FEB" w:sz="12"/>
        </w:pBdr>
        <w:spacing w:after="40" w:before="420"/>
      </w:pPr>
      <w:r>
        <w:rPr>
          <w:rFonts w:ascii="Aptos" w:cs="Aptos" w:eastAsia="Aptos" w:hAnsi="Aptos"/>
          <w:sz w:val="21"/>
          <w:szCs w:val="21"/>
        </w:rPr>
        <w:t xml:space="preserve"/>
      </w:r>
    </w:p>
    <w:p>
      <w:pPr>
        <w:spacing w:after="40"/>
      </w:pPr>
      <w:r>
        <w:rPr>
          <w:rFonts w:ascii="Aptos" w:cs="Aptos" w:eastAsia="Aptos" w:hAnsi="Aptos"/>
          <w:b/>
          <w:bCs/>
          <w:color w:val="1F6FEB"/>
          <w:spacing w:val="30"/>
          <w:sz w:val="17"/>
          <w:szCs w:val="17"/>
        </w:rPr>
        <w:t xml:space="preserve">BLOCK 01</w:t>
      </w:r>
    </w:p>
    <w:p>
      <w:pPr>
        <w:pStyle w:val="Heading2"/>
        <w:spacing w:after="60"/>
      </w:pPr>
      <w:r>
        <w:rPr>
          <w:rFonts w:ascii="Aptos" w:cs="Aptos" w:eastAsia="Aptos" w:hAnsi="Aptos"/>
          <w:b/>
          <w:bCs/>
          <w:color w:val="0A1B3D"/>
          <w:sz w:val="27"/>
          <w:szCs w:val="27"/>
        </w:rPr>
        <w:t xml:space="preserve">Hero</w:t>
      </w:r>
    </w:p>
    <w:p>
      <w:pPr>
        <w:spacing w:after="140"/>
      </w:pPr>
      <w:r>
        <w:rPr>
          <w:rFonts w:ascii="Aptos" w:cs="Aptos" w:eastAsia="Aptos" w:hAnsi="Aptos"/>
          <w:color w:val="5A6472"/>
          <w:sz w:val="20"/>
          <w:szCs w:val="20"/>
        </w:rPr>
        <w:t xml:space="preserve">First screen. Names the service, states the instrument it is built on, and puts the phone number within reach without a scroll.</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1950"/>
        <w:gridCol w:w="7076"/>
      </w:tblGrid>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EYEBROW</w:t>
            </w:r>
          </w:p>
        </w:tc>
        <w:tc>
          <w:tcPr>
            <w:tcW w:type="dxa" w:w="7076"/>
            <w:tcMar>
              <w:top w:type="dxa" w:w="110"/>
              <w:left w:type="dxa" w:w="150"/>
              <w:bottom w:type="dxa" w:w="110"/>
              <w:right w:type="dxa" w:w="150"/>
            </w:tcMar>
          </w:tcPr>
          <w:p>
            <w:pPr>
              <w:spacing w:after="0" w:line="264"/>
            </w:pPr>
            <w:r>
              <w:rPr>
                <w:rFonts w:ascii="Aptos" w:cs="Aptos" w:eastAsia="Aptos" w:hAnsi="Aptos"/>
                <w:b/>
                <w:bCs/>
                <w:color w:val="0E9A8D"/>
                <w:spacing w:val="24"/>
                <w:sz w:val="18"/>
                <w:szCs w:val="18"/>
              </w:rPr>
              <w:t xml:space="preserve">POWER ⚡ SECURE</w:t>
            </w:r>
            <w:r>
              <w:rPr>
                <w:rFonts w:ascii="Aptos" w:cs="Aptos" w:eastAsia="Aptos" w:hAnsi="Aptos"/>
                <w:color w:val="8A94A3"/>
                <w:sz w:val="15"/>
                <w:szCs w:val="15"/>
              </w:rPr>
              <w:t xml:space="preserve">   14 ch</w:t>
            </w:r>
          </w:p>
          <w:p>
            <w:pPr>
              <w:spacing w:after="0" w:before="60"/>
            </w:pPr>
            <w:r>
              <w:rPr>
                <w:rFonts w:ascii="Aptos" w:cs="Aptos" w:eastAsia="Aptos" w:hAnsi="Aptos"/>
                <w:i/>
                <w:iCs/>
                <w:color w:val="5A6472"/>
                <w:sz w:val="17"/>
                <w:szCs w:val="17"/>
              </w:rPr>
              <w:t xml:space="preserve">Lifted verbatim from the printed flyer. It is the visual handshake for anyone who received the letter.</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H1</w:t>
            </w:r>
          </w:p>
        </w:tc>
        <w:tc>
          <w:tcPr>
            <w:tcW w:type="dxa" w:w="7076"/>
            <w:tcMar>
              <w:top w:type="dxa" w:w="110"/>
              <w:left w:type="dxa" w:w="150"/>
              <w:bottom w:type="dxa" w:w="110"/>
              <w:right w:type="dxa" w:w="150"/>
            </w:tcMar>
          </w:tcPr>
          <w:p>
            <w:pPr>
              <w:spacing w:after="0" w:line="264"/>
            </w:pPr>
            <w:r>
              <w:rPr>
                <w:rFonts w:ascii="Aptos" w:cs="Aptos" w:eastAsia="Aptos" w:hAnsi="Aptos"/>
                <w:b/>
                <w:bCs/>
                <w:color w:val="0A1B3D"/>
                <w:sz w:val="23"/>
                <w:szCs w:val="23"/>
              </w:rPr>
              <w:t xml:space="preserve">NEPRA IT/OT Regulatory Compliance Services</w:t>
            </w:r>
            <w:r>
              <w:rPr>
                <w:rFonts w:ascii="Aptos" w:cs="Aptos" w:eastAsia="Aptos" w:hAnsi="Aptos"/>
                <w:color w:val="8A94A3"/>
                <w:sz w:val="15"/>
                <w:szCs w:val="15"/>
              </w:rPr>
              <w:t xml:space="preserve">   42 ch</w:t>
            </w:r>
          </w:p>
          <w:p>
            <w:pPr>
              <w:spacing w:after="0" w:before="60"/>
            </w:pPr>
            <w:r>
              <w:rPr>
                <w:rFonts w:ascii="Aptos" w:cs="Aptos" w:eastAsia="Aptos" w:hAnsi="Aptos"/>
                <w:i/>
                <w:iCs/>
                <w:color w:val="5A6472"/>
                <w:sz w:val="17"/>
                <w:szCs w:val="17"/>
              </w:rPr>
              <w:t xml:space="preserve">Exactly one H1 on the page. Do not split across a coloured second clause here — keep the H1 a single clean string for search.</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SUBHEAD</w:t>
            </w:r>
          </w:p>
        </w:tc>
        <w:tc>
          <w:tcPr>
            <w:tcW w:type="dxa" w:w="7076"/>
            <w:tcMar>
              <w:top w:type="dxa" w:w="110"/>
              <w:left w:type="dxa" w:w="150"/>
              <w:bottom w:type="dxa" w:w="110"/>
              <w:right w:type="dxa" w:w="150"/>
            </w:tcMar>
          </w:tcPr>
          <w:p>
            <w:pPr>
              <w:spacing w:after="0" w:line="264"/>
            </w:pPr>
            <w:r>
              <w:rPr>
                <w:rFonts w:ascii="Aptos" w:cs="Aptos" w:eastAsia="Aptos" w:hAnsi="Aptos"/>
                <w:sz w:val="20"/>
                <w:szCs w:val="20"/>
              </w:rPr>
              <w:t xml:space="preserve">A complete cybersecurity and compliance programme for Pakistan’s power sector, built around the Security of Information Technology &amp; Operational Technology Regulations, 2022.</w:t>
            </w:r>
            <w:r>
              <w:rPr>
                <w:rFonts w:ascii="Aptos" w:cs="Aptos" w:eastAsia="Aptos" w:hAnsi="Aptos"/>
                <w:color w:val="8A94A3"/>
                <w:sz w:val="15"/>
                <w:szCs w:val="15"/>
              </w:rPr>
              <w:t xml:space="preserve">   174 ch</w:t>
            </w:r>
          </w:p>
          <w:p>
            <w:pPr>
              <w:spacing w:after="0" w:before="60"/>
            </w:pPr>
            <w:r>
              <w:rPr>
                <w:rFonts w:ascii="Aptos" w:cs="Aptos" w:eastAsia="Aptos" w:hAnsi="Aptos"/>
                <w:i/>
                <w:iCs/>
                <w:color w:val="5A6472"/>
                <w:sz w:val="17"/>
                <w:szCs w:val="17"/>
              </w:rPr>
              <w:t xml:space="preserve">Max two lines at desktop. If it runs to three, cut “complete”.</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BUTTON 1</w:t>
            </w:r>
          </w:p>
        </w:tc>
        <w:tc>
          <w:tcPr>
            <w:tcW w:type="dxa" w:w="7076"/>
            <w:tcMar>
              <w:top w:type="dxa" w:w="110"/>
              <w:left w:type="dxa" w:w="150"/>
              <w:bottom w:type="dxa" w:w="110"/>
              <w:right w:type="dxa" w:w="150"/>
            </w:tcMar>
          </w:tcPr>
          <w:p>
            <w:pPr>
              <w:spacing w:after="0" w:line="264"/>
            </w:pPr>
            <w:r>
              <w:rPr>
                <w:rFonts w:ascii="Aptos" w:cs="Aptos" w:eastAsia="Aptos" w:hAnsi="Aptos"/>
                <w:b/>
                <w:bCs/>
                <w:color w:val="1F6FEB"/>
                <w:sz w:val="20"/>
                <w:szCs w:val="20"/>
              </w:rPr>
              <w:t xml:space="preserve">[ Call +92 21 3586 9200 ]</w:t>
            </w:r>
          </w:p>
          <w:p>
            <w:pPr>
              <w:spacing w:after="0" w:before="60"/>
            </w:pPr>
            <w:r>
              <w:rPr>
                <w:rFonts w:ascii="Aptos" w:cs="Aptos" w:eastAsia="Aptos" w:hAnsi="Aptos"/>
                <w:i/>
                <w:iCs/>
                <w:color w:val="5A6472"/>
                <w:sz w:val="17"/>
                <w:szCs w:val="17"/>
              </w:rPr>
              <w:t xml:space="preserve">href="tel:+922135869200". Solid fill — this is the primary action.</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BUTTON 2</w:t>
            </w:r>
          </w:p>
        </w:tc>
        <w:tc>
          <w:tcPr>
            <w:tcW w:type="dxa" w:w="7076"/>
            <w:tcMar>
              <w:top w:type="dxa" w:w="110"/>
              <w:left w:type="dxa" w:w="150"/>
              <w:bottom w:type="dxa" w:w="110"/>
              <w:right w:type="dxa" w:w="150"/>
            </w:tcMar>
          </w:tcPr>
          <w:p>
            <w:pPr>
              <w:spacing w:after="0" w:line="264"/>
            </w:pPr>
            <w:r>
              <w:rPr>
                <w:rFonts w:ascii="Aptos" w:cs="Aptos" w:eastAsia="Aptos" w:hAnsi="Aptos"/>
                <w:b/>
                <w:bCs/>
                <w:color w:val="1F6FEB"/>
                <w:sz w:val="20"/>
                <w:szCs w:val="20"/>
              </w:rPr>
              <w:t xml:space="preserve">[ Email xsecurity@xloopdigital.com ]</w:t>
            </w:r>
          </w:p>
          <w:p>
            <w:pPr>
              <w:spacing w:after="0" w:before="60"/>
            </w:pPr>
            <w:r>
              <w:rPr>
                <w:rFonts w:ascii="Aptos" w:cs="Aptos" w:eastAsia="Aptos" w:hAnsi="Aptos"/>
                <w:i/>
                <w:iCs/>
                <w:color w:val="5A6472"/>
                <w:sz w:val="17"/>
                <w:szCs w:val="17"/>
              </w:rPr>
              <w:t xml:space="preserve">href="mailto:xsecurity@xloopdigital.com?subject=NEPRA%20IT%2FOT%20Compliance%20enquiry". Outlined pill.</w:t>
            </w:r>
          </w:p>
        </w:tc>
      </w:tr>
    </w:tbl>
    <w:p>
      <w:pPr>
        <w:spacing w:after="120"/>
      </w:pPr>
      <w:r>
        <w:rPr>
          <w:rFonts w:ascii="Aptos" w:cs="Aptos" w:eastAsia="Aptos" w:hAnsi="Aptos"/>
          <w:sz w:val="21"/>
          <w:szCs w:val="21"/>
        </w:rPr>
        <w:t xml:space="preserve"/>
      </w:r>
    </w:p>
    <w:p>
      <w:pPr>
        <w:pStyle w:val="Heading3"/>
        <w:spacing w:after="90" w:before="200"/>
      </w:pPr>
      <w:r>
        <w:rPr>
          <w:rFonts w:ascii="Aptos" w:cs="Aptos" w:eastAsia="Aptos" w:hAnsi="Aptos"/>
          <w:b/>
          <w:bCs/>
          <w:color w:val="1F6FEB"/>
          <w:sz w:val="21"/>
          <w:szCs w:val="21"/>
        </w:rPr>
        <w:t xml:space="preserve">Layout &amp; assets</w:t>
      </w:r>
    </w:p>
    <w:p>
      <w:pPr>
        <w:pStyle w:val="ListParagraph"/>
        <w:numPr>
          <w:ilvl w:val="0"/>
          <w:numId w:val="2"/>
        </w:numPr>
        <w:spacing w:after="60" w:line="276"/>
      </w:pPr>
      <w:r>
        <w:rPr>
          <w:rFonts w:ascii="Aptos" w:cs="Aptos" w:eastAsia="Aptos" w:hAnsi="Aptos"/>
          <w:sz w:val="21"/>
          <w:szCs w:val="21"/>
        </w:rPr>
        <w:t xml:space="preserve">Left-aligned copy with a supporting visual on the right, matching the AI Security band’s split. Centred also works if the hero has no image.</w:t>
      </w:r>
    </w:p>
    <w:p>
      <w:pPr>
        <w:pStyle w:val="ListParagraph"/>
        <w:numPr>
          <w:ilvl w:val="0"/>
          <w:numId w:val="2"/>
        </w:numPr>
        <w:spacing w:after="60" w:line="276"/>
      </w:pPr>
      <w:r>
        <w:rPr>
          <w:rFonts w:ascii="Aptos" w:cs="Aptos" w:eastAsia="Aptos" w:hAnsi="Aptos"/>
          <w:b/>
          <w:bCs/>
          <w:sz w:val="21"/>
          <w:szCs w:val="21"/>
        </w:rPr>
        <w:t xml:space="preserve">Asset needed: </w:t>
      </w:r>
      <w:r>
        <w:rPr>
          <w:rFonts w:ascii="Aptos" w:cs="Aptos" w:eastAsia="Aptos" w:hAnsi="Aptos"/>
          <w:sz w:val="21"/>
          <w:szCs w:val="21"/>
        </w:rPr>
        <w:t xml:space="preserve">one hero visual — transmission infrastructure, a substation, or a control room. Abstract “cyber” imagery (padlocks, glowing circuit boards) will read as generic to this audience.</w:t>
      </w:r>
    </w:p>
    <w:p>
      <w:pPr>
        <w:pStyle w:val="ListParagraph"/>
        <w:numPr>
          <w:ilvl w:val="0"/>
          <w:numId w:val="2"/>
        </w:numPr>
        <w:spacing w:after="60" w:line="276"/>
      </w:pPr>
      <w:r>
        <w:rPr>
          <w:rFonts w:ascii="Aptos" w:cs="Aptos" w:eastAsia="Aptos" w:hAnsi="Aptos"/>
          <w:sz w:val="21"/>
          <w:szCs w:val="21"/>
        </w:rPr>
        <w:t xml:space="preserve">Mobile: stack, visual below the copy, both buttons full width.</w:t>
      </w:r>
    </w:p>
    <w:tbl>
      <w:tblPr>
        <w:tblW w:type="dxa" w:w="9026"/>
        <w:tblBorders>
          <w:top w:val="single" w:color="FFF4E5" w:sz="2"/>
          <w:left w:val="single" w:color="F59E0B" w:sz="16"/>
          <w:bottom w:val="single" w:color="FFF4E5" w:sz="2"/>
          <w:right w:val="single" w:color="FFF4E5" w:sz="2"/>
          <w:insideH w:val="none" w:color="FFF4E5" w:sz="0"/>
          <w:insideV w:val="none" w:color="FFF4E5" w:sz="0"/>
        </w:tblBorders>
      </w:tblPr>
      <w:tblGrid>
        <w:gridCol w:w="9026"/>
      </w:tblGrid>
      <w:tr>
        <w:tc>
          <w:tcPr>
            <w:tcW w:type="dxa" w:w="9026"/>
            <w:shd w:fill="FFF4E5" w:color="auto" w:val="clear"/>
            <w:tcMar>
              <w:top w:type="dxa" w:w="150"/>
              <w:left w:type="dxa" w:w="210"/>
              <w:bottom w:type="dxa" w:w="150"/>
              <w:right w:type="dxa" w:w="210"/>
            </w:tcMar>
          </w:tcPr>
          <w:p>
            <w:r>
              <w:rPr>
                <w:rFonts w:ascii="Aptos" w:cs="Aptos" w:eastAsia="Aptos" w:hAnsi="Aptos"/>
                <w:b/>
                <w:bCs/>
                <w:color w:val="B45309"/>
                <w:sz w:val="16"/>
                <w:szCs w:val="16"/>
              </w:rPr>
              <w:t xml:space="preserve">DESIGN NOTE  </w:t>
            </w:r>
            <w:r>
              <w:rPr>
                <w:rFonts w:ascii="Aptos" w:cs="Aptos" w:eastAsia="Aptos" w:hAnsi="Aptos"/>
                <w:sz w:val="20"/>
                <w:szCs w:val="20"/>
              </w:rPr>
              <w:t xml:space="preserve">There is no booking link and no form anywhere on this page. The phone number and email are the conversion mechanism, exactly as printed on the letter. Both must also appear as visible text, not only as href values — tel: and mailto: hrefs are invisible to crawlers and AI agents.</w:t>
            </w:r>
          </w:p>
        </w:tc>
      </w:tr>
    </w:tbl>
    <w:p>
      <w:pPr>
        <w:pBdr>
          <w:top w:val="single" w:color="1F6FEB" w:sz="12"/>
        </w:pBdr>
        <w:spacing w:after="40" w:before="420"/>
      </w:pPr>
      <w:r>
        <w:rPr>
          <w:rFonts w:ascii="Aptos" w:cs="Aptos" w:eastAsia="Aptos" w:hAnsi="Aptos"/>
          <w:sz w:val="21"/>
          <w:szCs w:val="21"/>
        </w:rPr>
        <w:t xml:space="preserve"/>
      </w:r>
    </w:p>
    <w:p>
      <w:pPr>
        <w:spacing w:after="40"/>
      </w:pPr>
      <w:r>
        <w:rPr>
          <w:rFonts w:ascii="Aptos" w:cs="Aptos" w:eastAsia="Aptos" w:hAnsi="Aptos"/>
          <w:b/>
          <w:bCs/>
          <w:color w:val="1F6FEB"/>
          <w:spacing w:val="30"/>
          <w:sz w:val="17"/>
          <w:szCs w:val="17"/>
        </w:rPr>
        <w:t xml:space="preserve">BLOCK 02</w:t>
      </w:r>
    </w:p>
    <w:p>
      <w:pPr>
        <w:pStyle w:val="Heading2"/>
        <w:spacing w:after="60"/>
      </w:pPr>
      <w:r>
        <w:rPr>
          <w:rFonts w:ascii="Aptos" w:cs="Aptos" w:eastAsia="Aptos" w:hAnsi="Aptos"/>
          <w:b/>
          <w:bCs/>
          <w:color w:val="0A1B3D"/>
          <w:sz w:val="27"/>
          <w:szCs w:val="27"/>
        </w:rPr>
        <w:t xml:space="preserve">The obligation</w:t>
      </w:r>
    </w:p>
    <w:p>
      <w:pPr>
        <w:spacing w:after="140"/>
      </w:pPr>
      <w:r>
        <w:rPr>
          <w:rFonts w:ascii="Aptos" w:cs="Aptos" w:eastAsia="Aptos" w:hAnsi="Aptos"/>
          <w:color w:val="5A6472"/>
          <w:sz w:val="20"/>
          <w:szCs w:val="20"/>
        </w:rPr>
        <w:t xml:space="preserve">The persuasion block. States the legal requirement and its three consequences in language a chief executive can act on.</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1950"/>
        <w:gridCol w:w="7076"/>
      </w:tblGrid>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EYEBROW</w:t>
            </w:r>
          </w:p>
        </w:tc>
        <w:tc>
          <w:tcPr>
            <w:tcW w:type="dxa" w:w="7076"/>
            <w:tcMar>
              <w:top w:type="dxa" w:w="110"/>
              <w:left w:type="dxa" w:w="150"/>
              <w:bottom w:type="dxa" w:w="110"/>
              <w:right w:type="dxa" w:w="150"/>
            </w:tcMar>
          </w:tcPr>
          <w:p>
            <w:pPr>
              <w:spacing w:after="0" w:line="264"/>
            </w:pPr>
            <w:r>
              <w:rPr>
                <w:rFonts w:ascii="Aptos" w:cs="Aptos" w:eastAsia="Aptos" w:hAnsi="Aptos"/>
                <w:b/>
                <w:bCs/>
                <w:color w:val="0E9A8D"/>
                <w:spacing w:val="24"/>
                <w:sz w:val="18"/>
                <w:szCs w:val="18"/>
              </w:rPr>
              <w:t xml:space="preserve">THE REQUIREMENT</w:t>
            </w:r>
            <w:r>
              <w:rPr>
                <w:rFonts w:ascii="Aptos" w:cs="Aptos" w:eastAsia="Aptos" w:hAnsi="Aptos"/>
                <w:color w:val="8A94A3"/>
                <w:sz w:val="15"/>
                <w:szCs w:val="15"/>
              </w:rPr>
              <w:t xml:space="preserve">   15 ch</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H2</w:t>
            </w:r>
          </w:p>
        </w:tc>
        <w:tc>
          <w:tcPr>
            <w:tcW w:type="dxa" w:w="7076"/>
            <w:tcMar>
              <w:top w:type="dxa" w:w="110"/>
              <w:left w:type="dxa" w:w="150"/>
              <w:bottom w:type="dxa" w:w="110"/>
              <w:right w:type="dxa" w:w="150"/>
            </w:tcMar>
          </w:tcPr>
          <w:p>
            <w:pPr>
              <w:spacing w:after="0" w:line="264"/>
            </w:pPr>
            <w:r>
              <w:rPr>
                <w:rFonts w:ascii="Aptos" w:cs="Aptos" w:eastAsia="Aptos" w:hAnsi="Aptos"/>
                <w:b/>
                <w:bCs/>
                <w:color w:val="0A1B3D"/>
                <w:sz w:val="23"/>
                <w:szCs w:val="23"/>
              </w:rPr>
              <w:t xml:space="preserve">The regulations are already in force. The audits are not optional.</w:t>
            </w:r>
            <w:r>
              <w:rPr>
                <w:rFonts w:ascii="Aptos" w:cs="Aptos" w:eastAsia="Aptos" w:hAnsi="Aptos"/>
                <w:color w:val="8A94A3"/>
                <w:sz w:val="15"/>
                <w:szCs w:val="15"/>
              </w:rPr>
              <w:t xml:space="preserve">   66 ch</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BODY ¶1</w:t>
            </w:r>
          </w:p>
        </w:tc>
        <w:tc>
          <w:tcPr>
            <w:tcW w:type="dxa" w:w="7076"/>
            <w:tcMar>
              <w:top w:type="dxa" w:w="110"/>
              <w:left w:type="dxa" w:w="150"/>
              <w:bottom w:type="dxa" w:w="110"/>
              <w:right w:type="dxa" w:w="150"/>
            </w:tcMar>
          </w:tcPr>
          <w:p>
            <w:pPr>
              <w:spacing w:after="0" w:line="264"/>
            </w:pPr>
            <w:r>
              <w:rPr>
                <w:rFonts w:ascii="Aptos" w:cs="Aptos" w:eastAsia="Aptos" w:hAnsi="Aptos"/>
                <w:sz w:val="20"/>
                <w:szCs w:val="20"/>
              </w:rPr>
              <w:t xml:space="preserve">NEPRA’s Security of IT &amp; OT Regulations, 2022 apply to every licensee in generation, transmission and distribution. They are not guidance. They set out a full security lifecycle — governance, controls, risk assessment, monitoring, incident response, training and reporting — and they cover the plant floor as well as the corporate network: SCADA, DCS, PLCs, RTUs, IEDs, HMIs, engineering workstations, and the links back to ISMO and the national grid.</w:t>
            </w:r>
            <w:r>
              <w:rPr>
                <w:rFonts w:ascii="Aptos" w:cs="Aptos" w:eastAsia="Aptos" w:hAnsi="Aptos"/>
                <w:color w:val="8A94A3"/>
                <w:sz w:val="15"/>
                <w:szCs w:val="15"/>
              </w:rPr>
              <w:t xml:space="preserve">   451 ch</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BODY ¶2</w:t>
            </w:r>
          </w:p>
        </w:tc>
        <w:tc>
          <w:tcPr>
            <w:tcW w:type="dxa" w:w="7076"/>
            <w:tcMar>
              <w:top w:type="dxa" w:w="110"/>
              <w:left w:type="dxa" w:w="150"/>
              <w:bottom w:type="dxa" w:w="110"/>
              <w:right w:type="dxa" w:w="150"/>
            </w:tcMar>
          </w:tcPr>
          <w:p>
            <w:pPr>
              <w:spacing w:after="0" w:line="264"/>
            </w:pPr>
            <w:r>
              <w:rPr>
                <w:rFonts w:ascii="Aptos" w:cs="Aptos" w:eastAsia="Aptos" w:hAnsi="Aptos"/>
                <w:sz w:val="20"/>
                <w:szCs w:val="20"/>
              </w:rPr>
              <w:t xml:space="preserve">Three things follow from that. NEPRA can direct a technical audit of your systems and expect evidence. Significant incidents must be reported within 72 hours, with quarterly reporting on top. And responsibility sits with a named cybersecurity lead inside your organisation — not with your OEM, and not with your integrator.</w:t>
            </w:r>
            <w:r>
              <w:rPr>
                <w:rFonts w:ascii="Aptos" w:cs="Aptos" w:eastAsia="Aptos" w:hAnsi="Aptos"/>
                <w:color w:val="8A94A3"/>
                <w:sz w:val="15"/>
                <w:szCs w:val="15"/>
              </w:rPr>
              <w:t xml:space="preserve">   323 ch</w:t>
            </w:r>
          </w:p>
        </w:tc>
      </w:tr>
    </w:tbl>
    <w:p>
      <w:pPr>
        <w:spacing w:after="120"/>
      </w:pPr>
      <w:r>
        <w:rPr>
          <w:rFonts w:ascii="Aptos" w:cs="Aptos" w:eastAsia="Aptos" w:hAnsi="Aptos"/>
          <w:sz w:val="21"/>
          <w:szCs w:val="21"/>
        </w:rPr>
        <w:t xml:space="preserve"/>
      </w:r>
    </w:p>
    <w:p>
      <w:pPr>
        <w:pStyle w:val="Heading3"/>
        <w:spacing w:after="90" w:before="200"/>
      </w:pPr>
      <w:r>
        <w:rPr>
          <w:rFonts w:ascii="Aptos" w:cs="Aptos" w:eastAsia="Aptos" w:hAnsi="Aptos"/>
          <w:b/>
          <w:bCs/>
          <w:color w:val="1F6FEB"/>
          <w:sz w:val="21"/>
          <w:szCs w:val="21"/>
        </w:rPr>
        <w:t xml:space="preserve">Stat row — three tiles beneath the paragraphs</w:t>
      </w:r>
    </w:p>
    <w:p>
      <w:pPr>
        <w:spacing w:after="120" w:line="276"/>
      </w:pPr>
      <w:r>
        <w:rPr>
          <w:rFonts w:ascii="Aptos" w:cs="Aptos" w:eastAsia="Aptos" w:hAnsi="Aptos"/>
          <w:sz w:val="21"/>
          <w:szCs w:val="21"/>
        </w:rPr>
        <w:t xml:space="preserve">Gives the block a scannable layer for a reader who will not read two paragraphs. Large figure, small caption.</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1950"/>
        <w:gridCol w:w="7076"/>
      </w:tblGrid>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TILE 1 — figure</w:t>
            </w:r>
          </w:p>
        </w:tc>
        <w:tc>
          <w:tcPr>
            <w:tcW w:type="dxa" w:w="7076"/>
            <w:tcMar>
              <w:top w:type="dxa" w:w="110"/>
              <w:left w:type="dxa" w:w="150"/>
              <w:bottom w:type="dxa" w:w="110"/>
              <w:right w:type="dxa" w:w="150"/>
            </w:tcMar>
          </w:tcPr>
          <w:p>
            <w:pPr>
              <w:spacing w:after="0" w:line="264"/>
            </w:pPr>
            <w:r>
              <w:rPr>
                <w:rFonts w:ascii="Aptos" w:cs="Aptos" w:eastAsia="Aptos" w:hAnsi="Aptos"/>
                <w:sz w:val="20"/>
                <w:szCs w:val="20"/>
              </w:rPr>
              <w:t xml:space="preserve">72 hours</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TILE 1 — caption</w:t>
            </w:r>
          </w:p>
        </w:tc>
        <w:tc>
          <w:tcPr>
            <w:tcW w:type="dxa" w:w="7076"/>
            <w:tcMar>
              <w:top w:type="dxa" w:w="110"/>
              <w:left w:type="dxa" w:w="150"/>
              <w:bottom w:type="dxa" w:w="110"/>
              <w:right w:type="dxa" w:w="150"/>
            </w:tcMar>
          </w:tcPr>
          <w:p>
            <w:pPr>
              <w:spacing w:after="0" w:line="264"/>
            </w:pPr>
            <w:r>
              <w:rPr>
                <w:rFonts w:ascii="Aptos" w:cs="Aptos" w:eastAsia="Aptos" w:hAnsi="Aptos"/>
                <w:sz w:val="20"/>
                <w:szCs w:val="20"/>
              </w:rPr>
              <w:t xml:space="preserve">to report a significant cyber incident to NEPRA</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TILE 2 — figure</w:t>
            </w:r>
          </w:p>
        </w:tc>
        <w:tc>
          <w:tcPr>
            <w:tcW w:type="dxa" w:w="7076"/>
            <w:tcMar>
              <w:top w:type="dxa" w:w="110"/>
              <w:left w:type="dxa" w:w="150"/>
              <w:bottom w:type="dxa" w:w="110"/>
              <w:right w:type="dxa" w:w="150"/>
            </w:tcMar>
          </w:tcPr>
          <w:p>
            <w:pPr>
              <w:spacing w:after="0" w:line="264"/>
            </w:pPr>
            <w:r>
              <w:rPr>
                <w:rFonts w:ascii="Aptos" w:cs="Aptos" w:eastAsia="Aptos" w:hAnsi="Aptos"/>
                <w:sz w:val="20"/>
                <w:szCs w:val="20"/>
              </w:rPr>
              <w:t xml:space="preserve">Regulations 4–11</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TILE 2 — caption</w:t>
            </w:r>
          </w:p>
        </w:tc>
        <w:tc>
          <w:tcPr>
            <w:tcW w:type="dxa" w:w="7076"/>
            <w:tcMar>
              <w:top w:type="dxa" w:w="110"/>
              <w:left w:type="dxa" w:w="150"/>
              <w:bottom w:type="dxa" w:w="110"/>
              <w:right w:type="dxa" w:w="150"/>
            </w:tcMar>
          </w:tcPr>
          <w:p>
            <w:pPr>
              <w:spacing w:after="0" w:line="264"/>
            </w:pPr>
            <w:r>
              <w:rPr>
                <w:rFonts w:ascii="Aptos" w:cs="Aptos" w:eastAsia="Aptos" w:hAnsi="Aptos"/>
                <w:sz w:val="20"/>
                <w:szCs w:val="20"/>
              </w:rPr>
              <w:t xml:space="preserve">the operative obligations on every licensee</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TILE 3 — figure</w:t>
            </w:r>
          </w:p>
        </w:tc>
        <w:tc>
          <w:tcPr>
            <w:tcW w:type="dxa" w:w="7076"/>
            <w:tcMar>
              <w:top w:type="dxa" w:w="110"/>
              <w:left w:type="dxa" w:w="150"/>
              <w:bottom w:type="dxa" w:w="110"/>
              <w:right w:type="dxa" w:w="150"/>
            </w:tcMar>
          </w:tcPr>
          <w:p>
            <w:pPr>
              <w:spacing w:after="0" w:line="264"/>
            </w:pPr>
            <w:r>
              <w:rPr>
                <w:rFonts w:ascii="Aptos" w:cs="Aptos" w:eastAsia="Aptos" w:hAnsi="Aptos"/>
                <w:sz w:val="20"/>
                <w:szCs w:val="20"/>
              </w:rPr>
              <w:t xml:space="preserve">IT + OT</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TILE 3 — caption</w:t>
            </w:r>
          </w:p>
        </w:tc>
        <w:tc>
          <w:tcPr>
            <w:tcW w:type="dxa" w:w="7076"/>
            <w:tcMar>
              <w:top w:type="dxa" w:w="110"/>
              <w:left w:type="dxa" w:w="150"/>
              <w:bottom w:type="dxa" w:w="110"/>
              <w:right w:type="dxa" w:w="150"/>
            </w:tcMar>
          </w:tcPr>
          <w:p>
            <w:pPr>
              <w:spacing w:after="0" w:line="264"/>
            </w:pPr>
            <w:r>
              <w:rPr>
                <w:rFonts w:ascii="Aptos" w:cs="Aptos" w:eastAsia="Aptos" w:hAnsi="Aptos"/>
                <w:sz w:val="20"/>
                <w:szCs w:val="20"/>
              </w:rPr>
              <w:t xml:space="preserve">corporate network and plant floor, both in scope</w:t>
            </w:r>
          </w:p>
        </w:tc>
      </w:tr>
    </w:tbl>
    <w:p>
      <w:pPr>
        <w:spacing w:after="120"/>
      </w:pPr>
      <w:r>
        <w:rPr>
          <w:rFonts w:ascii="Aptos" w:cs="Aptos" w:eastAsia="Aptos" w:hAnsi="Aptos"/>
          <w:sz w:val="21"/>
          <w:szCs w:val="21"/>
        </w:rPr>
        <w:t xml:space="preserve"/>
      </w:r>
    </w:p>
    <w:tbl>
      <w:tblPr>
        <w:tblW w:type="dxa" w:w="9026"/>
        <w:tblBorders>
          <w:top w:val="single" w:color="FFF4E5" w:sz="2"/>
          <w:left w:val="single" w:color="F59E0B" w:sz="16"/>
          <w:bottom w:val="single" w:color="FFF4E5" w:sz="2"/>
          <w:right w:val="single" w:color="FFF4E5" w:sz="2"/>
          <w:insideH w:val="none" w:color="FFF4E5" w:sz="0"/>
          <w:insideV w:val="none" w:color="FFF4E5" w:sz="0"/>
        </w:tblBorders>
      </w:tblPr>
      <w:tblGrid>
        <w:gridCol w:w="9026"/>
      </w:tblGrid>
      <w:tr>
        <w:tc>
          <w:tcPr>
            <w:tcW w:type="dxa" w:w="9026"/>
            <w:shd w:fill="FFF4E5" w:color="auto" w:val="clear"/>
            <w:tcMar>
              <w:top w:type="dxa" w:w="150"/>
              <w:left w:type="dxa" w:w="210"/>
              <w:bottom w:type="dxa" w:w="150"/>
              <w:right w:type="dxa" w:w="210"/>
            </w:tcMar>
          </w:tcPr>
          <w:p>
            <w:r>
              <w:rPr>
                <w:rFonts w:ascii="Aptos" w:cs="Aptos" w:eastAsia="Aptos" w:hAnsi="Aptos"/>
                <w:b/>
                <w:bCs/>
                <w:color w:val="B45309"/>
                <w:sz w:val="16"/>
                <w:szCs w:val="16"/>
              </w:rPr>
              <w:t xml:space="preserve">DESIGN NOTE  </w:t>
            </w:r>
            <w:r>
              <w:rPr>
                <w:rFonts w:ascii="Aptos" w:cs="Aptos" w:eastAsia="Aptos" w:hAnsi="Aptos"/>
                <w:sz w:val="20"/>
                <w:szCs w:val="20"/>
              </w:rPr>
              <w:t xml:space="preserve">The 72-hour figure and the exact gazetted title of the regulations are both pending confirmation by the security practice. Lay the block out, but treat those two strings as provisional until sign-off.</w:t>
            </w:r>
          </w:p>
        </w:tc>
      </w:tr>
    </w:tbl>
    <w:p>
      <w:pPr>
        <w:pBdr>
          <w:top w:val="single" w:color="1F6FEB" w:sz="12"/>
        </w:pBdr>
        <w:spacing w:after="40" w:before="420"/>
      </w:pPr>
      <w:r>
        <w:rPr>
          <w:rFonts w:ascii="Aptos" w:cs="Aptos" w:eastAsia="Aptos" w:hAnsi="Aptos"/>
          <w:sz w:val="21"/>
          <w:szCs w:val="21"/>
        </w:rPr>
        <w:t xml:space="preserve"/>
      </w:r>
    </w:p>
    <w:p>
      <w:pPr>
        <w:spacing w:after="40"/>
      </w:pPr>
      <w:r>
        <w:rPr>
          <w:rFonts w:ascii="Aptos" w:cs="Aptos" w:eastAsia="Aptos" w:hAnsi="Aptos"/>
          <w:b/>
          <w:bCs/>
          <w:color w:val="1F6FEB"/>
          <w:spacing w:val="30"/>
          <w:sz w:val="17"/>
          <w:szCs w:val="17"/>
        </w:rPr>
        <w:t xml:space="preserve">BLOCK 03</w:t>
      </w:r>
    </w:p>
    <w:p>
      <w:pPr>
        <w:pStyle w:val="Heading2"/>
        <w:spacing w:after="60"/>
      </w:pPr>
      <w:r>
        <w:rPr>
          <w:rFonts w:ascii="Aptos" w:cs="Aptos" w:eastAsia="Aptos" w:hAnsi="Aptos"/>
          <w:b/>
          <w:bCs/>
          <w:color w:val="0A1B3D"/>
          <w:sz w:val="27"/>
          <w:szCs w:val="27"/>
        </w:rPr>
        <w:t xml:space="preserve">Four services</w:t>
      </w:r>
    </w:p>
    <w:p>
      <w:pPr>
        <w:spacing w:after="140"/>
      </w:pPr>
      <w:r>
        <w:rPr>
          <w:rFonts w:ascii="Aptos" w:cs="Aptos" w:eastAsia="Aptos" w:hAnsi="Aptos"/>
          <w:color w:val="5A6472"/>
          <w:sz w:val="20"/>
          <w:szCs w:val="20"/>
        </w:rPr>
        <w:t xml:space="preserve">The compliance bundle exactly as it appeared on the mailed flyer, with the regulation numbers corrected.</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1950"/>
        <w:gridCol w:w="7076"/>
      </w:tblGrid>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EYEBROW</w:t>
            </w:r>
          </w:p>
        </w:tc>
        <w:tc>
          <w:tcPr>
            <w:tcW w:type="dxa" w:w="7076"/>
            <w:tcMar>
              <w:top w:type="dxa" w:w="110"/>
              <w:left w:type="dxa" w:w="150"/>
              <w:bottom w:type="dxa" w:w="110"/>
              <w:right w:type="dxa" w:w="150"/>
            </w:tcMar>
          </w:tcPr>
          <w:p>
            <w:pPr>
              <w:spacing w:after="0" w:line="264"/>
            </w:pPr>
            <w:r>
              <w:rPr>
                <w:rFonts w:ascii="Aptos" w:cs="Aptos" w:eastAsia="Aptos" w:hAnsi="Aptos"/>
                <w:b/>
                <w:bCs/>
                <w:color w:val="0E9A8D"/>
                <w:spacing w:val="24"/>
                <w:sz w:val="18"/>
                <w:szCs w:val="18"/>
              </w:rPr>
              <w:t xml:space="preserve">THE COMPLIANCE BUNDLE</w:t>
            </w:r>
            <w:r>
              <w:rPr>
                <w:rFonts w:ascii="Aptos" w:cs="Aptos" w:eastAsia="Aptos" w:hAnsi="Aptos"/>
                <w:color w:val="8A94A3"/>
                <w:sz w:val="15"/>
                <w:szCs w:val="15"/>
              </w:rPr>
              <w:t xml:space="preserve">   21 ch</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H2</w:t>
            </w:r>
          </w:p>
        </w:tc>
        <w:tc>
          <w:tcPr>
            <w:tcW w:type="dxa" w:w="7076"/>
            <w:tcMar>
              <w:top w:type="dxa" w:w="110"/>
              <w:left w:type="dxa" w:w="150"/>
              <w:bottom w:type="dxa" w:w="110"/>
              <w:right w:type="dxa" w:w="150"/>
            </w:tcMar>
          </w:tcPr>
          <w:p>
            <w:pPr>
              <w:spacing w:after="0" w:line="264"/>
            </w:pPr>
            <w:r>
              <w:rPr>
                <w:rFonts w:ascii="Aptos" w:cs="Aptos" w:eastAsia="Aptos" w:hAnsi="Aptos"/>
                <w:b/>
                <w:bCs/>
                <w:color w:val="0A1B3D"/>
                <w:sz w:val="23"/>
                <w:szCs w:val="23"/>
              </w:rPr>
              <w:t xml:space="preserve">Four services. One compliance position.</w:t>
            </w:r>
            <w:r>
              <w:rPr>
                <w:rFonts w:ascii="Aptos" w:cs="Aptos" w:eastAsia="Aptos" w:hAnsi="Aptos"/>
                <w:color w:val="8A94A3"/>
                <w:sz w:val="15"/>
                <w:szCs w:val="15"/>
              </w:rPr>
              <w:t xml:space="preserve">   39 ch</w:t>
            </w:r>
          </w:p>
        </w:tc>
      </w:tr>
    </w:tbl>
    <w:p>
      <w:pPr>
        <w:spacing w:after="120"/>
      </w:pPr>
      <w:r>
        <w:rPr>
          <w:rFonts w:ascii="Aptos" w:cs="Aptos" w:eastAsia="Aptos" w:hAnsi="Aptos"/>
          <w:sz w:val="21"/>
          <w:szCs w:val="21"/>
        </w:rPr>
        <w:t xml:space="preserve"/>
      </w:r>
    </w:p>
    <w:p>
      <w:pPr>
        <w:spacing w:after="120" w:line="276"/>
      </w:pPr>
      <w:r>
        <w:rPr>
          <w:rFonts w:ascii="Aptos" w:cs="Aptos" w:eastAsia="Aptos" w:hAnsi="Aptos"/>
          <w:sz w:val="21"/>
          <w:szCs w:val="21"/>
        </w:rPr>
        <w:t xml:space="preserve">Four cards. Each carries a regulation label, a title and one paragraph. Use the capability-card component from the homepage — icon, title, body — with the regulation label added above the title.</w:t>
      </w:r>
    </w:p>
    <w:p>
      <w:pPr>
        <w:spacing w:after="60"/>
      </w:pPr>
      <w:r>
        <w:rPr>
          <w:rFonts w:ascii="Aptos" w:cs="Aptos" w:eastAsia="Aptos" w:hAnsi="Aptos"/>
          <w:sz w:val="21"/>
          <w:szCs w:val="21"/>
        </w:rPr>
        <w:t xml:space="preserve"/>
      </w:r>
    </w:p>
    <w:p>
      <w:pPr>
        <w:spacing w:after="70" w:before="200"/>
      </w:pPr>
      <w:r>
        <w:rPr>
          <w:rFonts w:ascii="Aptos" w:cs="Aptos" w:eastAsia="Aptos" w:hAnsi="Aptos"/>
          <w:b/>
          <w:bCs/>
          <w:color w:val="1F6FEB"/>
          <w:spacing w:val="26"/>
          <w:sz w:val="18"/>
          <w:szCs w:val="18"/>
        </w:rPr>
        <w:t xml:space="preserve">CARD 1</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1950"/>
        <w:gridCol w:w="7076"/>
      </w:tblGrid>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REG LABEL</w:t>
            </w:r>
          </w:p>
        </w:tc>
        <w:tc>
          <w:tcPr>
            <w:tcW w:type="dxa" w:w="7076"/>
            <w:tcMar>
              <w:top w:type="dxa" w:w="110"/>
              <w:left w:type="dxa" w:w="150"/>
              <w:bottom w:type="dxa" w:w="110"/>
              <w:right w:type="dxa" w:w="150"/>
            </w:tcMar>
          </w:tcPr>
          <w:p>
            <w:pPr>
              <w:spacing w:after="0" w:line="264"/>
            </w:pPr>
            <w:r>
              <w:rPr>
                <w:rFonts w:ascii="Aptos" w:cs="Aptos" w:eastAsia="Aptos" w:hAnsi="Aptos"/>
                <w:b/>
                <w:bCs/>
                <w:color w:val="0E9A8D"/>
                <w:spacing w:val="24"/>
                <w:sz w:val="18"/>
                <w:szCs w:val="18"/>
              </w:rPr>
              <w:t xml:space="preserve">Regulation 4–11</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CARD TITLE</w:t>
            </w:r>
          </w:p>
        </w:tc>
        <w:tc>
          <w:tcPr>
            <w:tcW w:type="dxa" w:w="7076"/>
            <w:tcMar>
              <w:top w:type="dxa" w:w="110"/>
              <w:left w:type="dxa" w:w="150"/>
              <w:bottom w:type="dxa" w:w="110"/>
              <w:right w:type="dxa" w:w="150"/>
            </w:tcMar>
          </w:tcPr>
          <w:p>
            <w:pPr>
              <w:spacing w:after="0" w:line="264"/>
            </w:pPr>
            <w:r>
              <w:rPr>
                <w:rFonts w:ascii="Aptos" w:cs="Aptos" w:eastAsia="Aptos" w:hAnsi="Aptos"/>
                <w:b/>
                <w:bCs/>
                <w:color w:val="0A1B3D"/>
                <w:sz w:val="23"/>
                <w:szCs w:val="23"/>
              </w:rPr>
              <w:t xml:space="preserve">NEPRA Compliance Audit</w:t>
            </w:r>
            <w:r>
              <w:rPr>
                <w:rFonts w:ascii="Aptos" w:cs="Aptos" w:eastAsia="Aptos" w:hAnsi="Aptos"/>
                <w:color w:val="8A94A3"/>
                <w:sz w:val="15"/>
                <w:szCs w:val="15"/>
              </w:rPr>
              <w:t xml:space="preserve">   22 ch</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CARD BODY</w:t>
            </w:r>
          </w:p>
        </w:tc>
        <w:tc>
          <w:tcPr>
            <w:tcW w:type="dxa" w:w="7076"/>
            <w:tcMar>
              <w:top w:type="dxa" w:w="110"/>
              <w:left w:type="dxa" w:w="150"/>
              <w:bottom w:type="dxa" w:w="110"/>
              <w:right w:type="dxa" w:w="150"/>
            </w:tcMar>
          </w:tcPr>
          <w:p>
            <w:pPr>
              <w:spacing w:after="0" w:line="264"/>
            </w:pPr>
            <w:r>
              <w:rPr>
                <w:rFonts w:ascii="Aptos" w:cs="Aptos" w:eastAsia="Aptos" w:hAnsi="Aptos"/>
                <w:sz w:val="20"/>
                <w:szCs w:val="20"/>
              </w:rPr>
              <w:t xml:space="preserve">A clause-by-clause assessment of your IT and OT environments against every operative regulation — scored, evidenced and mapped. You get a compliance position you can show NEPRA, and a ranked list of what to fix first.</w:t>
            </w:r>
            <w:r>
              <w:rPr>
                <w:rFonts w:ascii="Aptos" w:cs="Aptos" w:eastAsia="Aptos" w:hAnsi="Aptos"/>
                <w:color w:val="8A94A3"/>
                <w:sz w:val="15"/>
                <w:szCs w:val="15"/>
              </w:rPr>
              <w:t xml:space="preserve">   217 ch</w:t>
            </w:r>
          </w:p>
        </w:tc>
      </w:tr>
    </w:tbl>
    <w:p>
      <w:pPr>
        <w:spacing w:after="70" w:before="200"/>
      </w:pPr>
      <w:r>
        <w:rPr>
          <w:rFonts w:ascii="Aptos" w:cs="Aptos" w:eastAsia="Aptos" w:hAnsi="Aptos"/>
          <w:b/>
          <w:bCs/>
          <w:color w:val="1F6FEB"/>
          <w:spacing w:val="26"/>
          <w:sz w:val="18"/>
          <w:szCs w:val="18"/>
        </w:rPr>
        <w:t xml:space="preserve">CARD 2</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1950"/>
        <w:gridCol w:w="7076"/>
      </w:tblGrid>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REG LABEL</w:t>
            </w:r>
          </w:p>
        </w:tc>
        <w:tc>
          <w:tcPr>
            <w:tcW w:type="dxa" w:w="7076"/>
            <w:tcMar>
              <w:top w:type="dxa" w:w="110"/>
              <w:left w:type="dxa" w:w="150"/>
              <w:bottom w:type="dxa" w:w="110"/>
              <w:right w:type="dxa" w:w="150"/>
            </w:tcMar>
          </w:tcPr>
          <w:p>
            <w:pPr>
              <w:spacing w:after="0" w:line="264"/>
            </w:pPr>
            <w:r>
              <w:rPr>
                <w:rFonts w:ascii="Aptos" w:cs="Aptos" w:eastAsia="Aptos" w:hAnsi="Aptos"/>
                <w:b/>
                <w:bCs/>
                <w:color w:val="0E9A8D"/>
                <w:spacing w:val="24"/>
                <w:sz w:val="18"/>
                <w:szCs w:val="18"/>
              </w:rPr>
              <w:t xml:space="preserve">Regulation 6</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CARD TITLE</w:t>
            </w:r>
          </w:p>
        </w:tc>
        <w:tc>
          <w:tcPr>
            <w:tcW w:type="dxa" w:w="7076"/>
            <w:tcMar>
              <w:top w:type="dxa" w:w="110"/>
              <w:left w:type="dxa" w:w="150"/>
              <w:bottom w:type="dxa" w:w="110"/>
              <w:right w:type="dxa" w:w="150"/>
            </w:tcMar>
          </w:tcPr>
          <w:p>
            <w:pPr>
              <w:spacing w:after="0" w:line="264"/>
            </w:pPr>
            <w:r>
              <w:rPr>
                <w:rFonts w:ascii="Aptos" w:cs="Aptos" w:eastAsia="Aptos" w:hAnsi="Aptos"/>
                <w:b/>
                <w:bCs/>
                <w:color w:val="0A1B3D"/>
                <w:sz w:val="23"/>
                <w:szCs w:val="23"/>
              </w:rPr>
              <w:t xml:space="preserve">VAPT Services</w:t>
            </w:r>
            <w:r>
              <w:rPr>
                <w:rFonts w:ascii="Aptos" w:cs="Aptos" w:eastAsia="Aptos" w:hAnsi="Aptos"/>
                <w:color w:val="8A94A3"/>
                <w:sz w:val="15"/>
                <w:szCs w:val="15"/>
              </w:rPr>
              <w:t xml:space="preserve">   13 ch</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CARD BODY</w:t>
            </w:r>
          </w:p>
        </w:tc>
        <w:tc>
          <w:tcPr>
            <w:tcW w:type="dxa" w:w="7076"/>
            <w:tcMar>
              <w:top w:type="dxa" w:w="110"/>
              <w:left w:type="dxa" w:w="150"/>
              <w:bottom w:type="dxa" w:w="110"/>
              <w:right w:type="dxa" w:w="150"/>
            </w:tcMar>
          </w:tcPr>
          <w:p>
            <w:pPr>
              <w:spacing w:after="0" w:line="264"/>
            </w:pPr>
            <w:r>
              <w:rPr>
                <w:rFonts w:ascii="Aptos" w:cs="Aptos" w:eastAsia="Aptos" w:hAnsi="Aptos"/>
                <w:sz w:val="20"/>
                <w:szCs w:val="20"/>
              </w:rPr>
              <w:t xml:space="preserve">Controlled penetration testing of the IT perimeter, plus a non-intrusive exposure assessment of the OT environment. We find what an attacker would find — without touching plant availability to do it.</w:t>
            </w:r>
            <w:r>
              <w:rPr>
                <w:rFonts w:ascii="Aptos" w:cs="Aptos" w:eastAsia="Aptos" w:hAnsi="Aptos"/>
                <w:color w:val="8A94A3"/>
                <w:sz w:val="15"/>
                <w:szCs w:val="15"/>
              </w:rPr>
              <w:t xml:space="preserve">   199 ch</w:t>
            </w:r>
          </w:p>
        </w:tc>
      </w:tr>
    </w:tbl>
    <w:p>
      <w:pPr>
        <w:spacing w:after="70" w:before="200"/>
      </w:pPr>
      <w:r>
        <w:rPr>
          <w:rFonts w:ascii="Aptos" w:cs="Aptos" w:eastAsia="Aptos" w:hAnsi="Aptos"/>
          <w:b/>
          <w:bCs/>
          <w:color w:val="1F6FEB"/>
          <w:spacing w:val="26"/>
          <w:sz w:val="18"/>
          <w:szCs w:val="18"/>
        </w:rPr>
        <w:t xml:space="preserve">CARD 3</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1950"/>
        <w:gridCol w:w="7076"/>
      </w:tblGrid>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REG LABEL</w:t>
            </w:r>
          </w:p>
        </w:tc>
        <w:tc>
          <w:tcPr>
            <w:tcW w:type="dxa" w:w="7076"/>
            <w:tcMar>
              <w:top w:type="dxa" w:w="110"/>
              <w:left w:type="dxa" w:w="150"/>
              <w:bottom w:type="dxa" w:w="110"/>
              <w:right w:type="dxa" w:w="150"/>
            </w:tcMar>
          </w:tcPr>
          <w:p>
            <w:pPr>
              <w:spacing w:after="0" w:line="264"/>
            </w:pPr>
            <w:r>
              <w:rPr>
                <w:rFonts w:ascii="Aptos" w:cs="Aptos" w:eastAsia="Aptos" w:hAnsi="Aptos"/>
                <w:b/>
                <w:bCs/>
                <w:color w:val="0E9A8D"/>
                <w:spacing w:val="24"/>
                <w:sz w:val="18"/>
                <w:szCs w:val="18"/>
              </w:rPr>
              <w:t xml:space="preserve">Regulation 4</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CARD TITLE</w:t>
            </w:r>
          </w:p>
        </w:tc>
        <w:tc>
          <w:tcPr>
            <w:tcW w:type="dxa" w:w="7076"/>
            <w:tcMar>
              <w:top w:type="dxa" w:w="110"/>
              <w:left w:type="dxa" w:w="150"/>
              <w:bottom w:type="dxa" w:w="110"/>
              <w:right w:type="dxa" w:w="150"/>
            </w:tcMar>
          </w:tcPr>
          <w:p>
            <w:pPr>
              <w:spacing w:after="0" w:line="264"/>
            </w:pPr>
            <w:r>
              <w:rPr>
                <w:rFonts w:ascii="Aptos" w:cs="Aptos" w:eastAsia="Aptos" w:hAnsi="Aptos"/>
                <w:b/>
                <w:bCs/>
                <w:color w:val="0A1B3D"/>
                <w:sz w:val="23"/>
                <w:szCs w:val="23"/>
              </w:rPr>
              <w:t xml:space="preserve">Policy Framework</w:t>
            </w:r>
            <w:r>
              <w:rPr>
                <w:rFonts w:ascii="Aptos" w:cs="Aptos" w:eastAsia="Aptos" w:hAnsi="Aptos"/>
                <w:color w:val="8A94A3"/>
                <w:sz w:val="15"/>
                <w:szCs w:val="15"/>
              </w:rPr>
              <w:t xml:space="preserve">   16 ch</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CARD BODY</w:t>
            </w:r>
          </w:p>
        </w:tc>
        <w:tc>
          <w:tcPr>
            <w:tcW w:type="dxa" w:w="7076"/>
            <w:tcMar>
              <w:top w:type="dxa" w:w="110"/>
              <w:left w:type="dxa" w:w="150"/>
              <w:bottom w:type="dxa" w:w="110"/>
              <w:right w:type="dxa" w:w="150"/>
            </w:tcMar>
          </w:tcPr>
          <w:p>
            <w:pPr>
              <w:spacing w:after="0" w:line="264"/>
            </w:pPr>
            <w:r>
              <w:rPr>
                <w:rFonts w:ascii="Aptos" w:cs="Aptos" w:eastAsia="Aptos" w:hAnsi="Aptos"/>
                <w:sz w:val="20"/>
                <w:szCs w:val="20"/>
              </w:rPr>
              <w:t xml:space="preserve">The approved policies, SOPs and governance structure the regulations require: cybersecurity organisation, the CISO or cyber lead role, asset classification, change and patch management, business continuity, and the reporting channel to NEPRA and PowerCERT. Where the documents do not exist, we write them.</w:t>
            </w:r>
            <w:r>
              <w:rPr>
                <w:rFonts w:ascii="Aptos" w:cs="Aptos" w:eastAsia="Aptos" w:hAnsi="Aptos"/>
                <w:color w:val="8A94A3"/>
                <w:sz w:val="15"/>
                <w:szCs w:val="15"/>
              </w:rPr>
              <w:t xml:space="preserve">   305 ch</w:t>
            </w:r>
          </w:p>
        </w:tc>
      </w:tr>
    </w:tbl>
    <w:p>
      <w:pPr>
        <w:spacing w:after="70" w:before="200"/>
      </w:pPr>
      <w:r>
        <w:rPr>
          <w:rFonts w:ascii="Aptos" w:cs="Aptos" w:eastAsia="Aptos" w:hAnsi="Aptos"/>
          <w:b/>
          <w:bCs/>
          <w:color w:val="1F6FEB"/>
          <w:spacing w:val="26"/>
          <w:sz w:val="18"/>
          <w:szCs w:val="18"/>
        </w:rPr>
        <w:t xml:space="preserve">CARD 4</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1950"/>
        <w:gridCol w:w="7076"/>
      </w:tblGrid>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REG LABEL</w:t>
            </w:r>
          </w:p>
        </w:tc>
        <w:tc>
          <w:tcPr>
            <w:tcW w:type="dxa" w:w="7076"/>
            <w:tcMar>
              <w:top w:type="dxa" w:w="110"/>
              <w:left w:type="dxa" w:w="150"/>
              <w:bottom w:type="dxa" w:w="110"/>
              <w:right w:type="dxa" w:w="150"/>
            </w:tcMar>
          </w:tcPr>
          <w:p>
            <w:pPr>
              <w:spacing w:after="0" w:line="264"/>
            </w:pPr>
            <w:r>
              <w:rPr>
                <w:rFonts w:ascii="Aptos" w:cs="Aptos" w:eastAsia="Aptos" w:hAnsi="Aptos"/>
                <w:b/>
                <w:bCs/>
                <w:color w:val="0E9A8D"/>
                <w:spacing w:val="24"/>
                <w:sz w:val="18"/>
                <w:szCs w:val="18"/>
              </w:rPr>
              <w:t xml:space="preserve">Regulation 10</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CARD TITLE</w:t>
            </w:r>
          </w:p>
        </w:tc>
        <w:tc>
          <w:tcPr>
            <w:tcW w:type="dxa" w:w="7076"/>
            <w:tcMar>
              <w:top w:type="dxa" w:w="110"/>
              <w:left w:type="dxa" w:w="150"/>
              <w:bottom w:type="dxa" w:w="110"/>
              <w:right w:type="dxa" w:w="150"/>
            </w:tcMar>
          </w:tcPr>
          <w:p>
            <w:pPr>
              <w:spacing w:after="0" w:line="264"/>
            </w:pPr>
            <w:r>
              <w:rPr>
                <w:rFonts w:ascii="Aptos" w:cs="Aptos" w:eastAsia="Aptos" w:hAnsi="Aptos"/>
                <w:b/>
                <w:bCs/>
                <w:color w:val="0A1B3D"/>
                <w:sz w:val="23"/>
                <w:szCs w:val="23"/>
              </w:rPr>
              <w:t xml:space="preserve">Cybersecurity Training</w:t>
            </w:r>
            <w:r>
              <w:rPr>
                <w:rFonts w:ascii="Aptos" w:cs="Aptos" w:eastAsia="Aptos" w:hAnsi="Aptos"/>
                <w:color w:val="8A94A3"/>
                <w:sz w:val="15"/>
                <w:szCs w:val="15"/>
              </w:rPr>
              <w:t xml:space="preserve">   22 ch</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CARD BODY</w:t>
            </w:r>
          </w:p>
        </w:tc>
        <w:tc>
          <w:tcPr>
            <w:tcW w:type="dxa" w:w="7076"/>
            <w:tcMar>
              <w:top w:type="dxa" w:w="110"/>
              <w:left w:type="dxa" w:w="150"/>
              <w:bottom w:type="dxa" w:w="110"/>
              <w:right w:type="dxa" w:w="150"/>
            </w:tcMar>
          </w:tcPr>
          <w:p>
            <w:pPr>
              <w:spacing w:after="0" w:line="264"/>
            </w:pPr>
            <w:r>
              <w:rPr>
                <w:rFonts w:ascii="Aptos" w:cs="Aptos" w:eastAsia="Aptos" w:hAnsi="Aptos"/>
                <w:sz w:val="20"/>
                <w:szCs w:val="20"/>
              </w:rPr>
              <w:t xml:space="preserve">Awareness programmes for corporate IT staff and targeted training for SCADA operators and plant engineers, plus the response-team structure that Regulation 9 assumes you already have. Roles, accountability and reporting lines, made explicit.</w:t>
            </w:r>
            <w:r>
              <w:rPr>
                <w:rFonts w:ascii="Aptos" w:cs="Aptos" w:eastAsia="Aptos" w:hAnsi="Aptos"/>
                <w:color w:val="8A94A3"/>
                <w:sz w:val="15"/>
                <w:szCs w:val="15"/>
              </w:rPr>
              <w:t xml:space="preserve">   241 ch</w:t>
            </w:r>
          </w:p>
        </w:tc>
      </w:tr>
    </w:tbl>
    <w:p>
      <w:pPr>
        <w:spacing w:after="140"/>
      </w:pPr>
      <w:r>
        <w:rPr>
          <w:rFonts w:ascii="Aptos" w:cs="Aptos" w:eastAsia="Aptos" w:hAnsi="Aptos"/>
          <w:sz w:val="21"/>
          <w:szCs w:val="21"/>
        </w:rPr>
        <w:t xml:space="preserve"/>
      </w:r>
    </w:p>
    <w:p>
      <w:pPr>
        <w:pStyle w:val="Heading3"/>
        <w:spacing w:after="90" w:before="200"/>
      </w:pPr>
      <w:r>
        <w:rPr>
          <w:rFonts w:ascii="Aptos" w:cs="Aptos" w:eastAsia="Aptos" w:hAnsi="Aptos"/>
          <w:b/>
          <w:bCs/>
          <w:color w:val="1F6FEB"/>
          <w:sz w:val="21"/>
          <w:szCs w:val="21"/>
        </w:rPr>
        <w:t xml:space="preserve">Layout &amp; assets</w:t>
      </w:r>
    </w:p>
    <w:p>
      <w:pPr>
        <w:pStyle w:val="ListParagraph"/>
        <w:numPr>
          <w:ilvl w:val="0"/>
          <w:numId w:val="2"/>
        </w:numPr>
        <w:spacing w:after="60" w:line="276"/>
      </w:pPr>
      <w:r>
        <w:rPr>
          <w:rFonts w:ascii="Aptos" w:cs="Aptos" w:eastAsia="Aptos" w:hAnsi="Aptos"/>
          <w:sz w:val="21"/>
          <w:szCs w:val="21"/>
        </w:rPr>
        <w:t xml:space="preserve">Two by two at desktop, single column on mobile. Card 3 is the longest — set the grid to equal heights and let the shorter cards carry the whitespace rather than padding the copy out.</w:t>
      </w:r>
    </w:p>
    <w:p>
      <w:pPr>
        <w:pStyle w:val="ListParagraph"/>
        <w:numPr>
          <w:ilvl w:val="0"/>
          <w:numId w:val="2"/>
        </w:numPr>
        <w:spacing w:after="60" w:line="276"/>
      </w:pPr>
      <w:r>
        <w:rPr>
          <w:rFonts w:ascii="Aptos" w:cs="Aptos" w:eastAsia="Aptos" w:hAnsi="Aptos"/>
          <w:b/>
          <w:bCs/>
          <w:sz w:val="21"/>
          <w:szCs w:val="21"/>
        </w:rPr>
        <w:t xml:space="preserve">Assets needed: </w:t>
      </w:r>
      <w:r>
        <w:rPr>
          <w:rFonts w:ascii="Aptos" w:cs="Aptos" w:eastAsia="Aptos" w:hAnsi="Aptos"/>
          <w:sz w:val="21"/>
          <w:szCs w:val="21"/>
        </w:rPr>
        <w:t xml:space="preserve">four icons in the existing capability-card style — 34px rounded square, 1px blue border, single glyph. Suggested subjects: clipboard/checkmark (audit), shield with crosshair (VAPT), document stack (policy), people (training).</w:t>
      </w:r>
    </w:p>
    <w:tbl>
      <w:tblPr>
        <w:tblW w:type="dxa" w:w="9026"/>
        <w:tblBorders>
          <w:top w:val="single" w:color="F2F5FA" w:sz="2"/>
          <w:left w:val="single" w:color="1F6FEB" w:sz="16"/>
          <w:bottom w:val="single" w:color="F2F5FA" w:sz="2"/>
          <w:right w:val="single" w:color="F2F5FA" w:sz="2"/>
          <w:insideH w:val="none" w:color="F2F5FA" w:sz="0"/>
          <w:insideV w:val="none" w:color="F2F5FA" w:sz="0"/>
        </w:tblBorders>
      </w:tblPr>
      <w:tblGrid>
        <w:gridCol w:w="9026"/>
      </w:tblGrid>
      <w:tr>
        <w:tc>
          <w:tcPr>
            <w:tcW w:type="dxa" w:w="9026"/>
            <w:shd w:fill="F2F5FA" w:color="auto" w:val="clear"/>
            <w:tcMar>
              <w:top w:type="dxa" w:w="150"/>
              <w:left w:type="dxa" w:w="210"/>
              <w:bottom w:type="dxa" w:w="150"/>
              <w:right w:type="dxa" w:w="210"/>
            </w:tcMar>
          </w:tcPr>
          <w:p>
            <w:r>
              <w:rPr>
                <w:rFonts w:ascii="Aptos" w:cs="Aptos" w:eastAsia="Aptos" w:hAnsi="Aptos"/>
                <w:b/>
                <w:bCs/>
                <w:sz w:val="20"/>
                <w:szCs w:val="20"/>
              </w:rPr>
              <w:t xml:space="preserve">Note for whoever writes the sales follow-up, not for the page: </w:t>
            </w:r>
            <w:r>
              <w:rPr>
                <w:rFonts w:ascii="Aptos" w:cs="Aptos" w:eastAsia="Aptos" w:hAnsi="Aptos"/>
                <w:sz w:val="20"/>
                <w:szCs w:val="20"/>
              </w:rPr>
              <w:t xml:space="preserve">the flyer’s four bundles leave out Regulation 5 (security controls) and Regulation 7 (data integrity), which the audit does in fact cover. Block 04 closes that gap on the page.</w:t>
            </w:r>
          </w:p>
        </w:tc>
      </w:tr>
    </w:tbl>
    <w:p>
      <w:pPr>
        <w:pBdr>
          <w:top w:val="single" w:color="1F6FEB" w:sz="12"/>
        </w:pBdr>
        <w:spacing w:after="40" w:before="420"/>
      </w:pPr>
      <w:r>
        <w:rPr>
          <w:rFonts w:ascii="Aptos" w:cs="Aptos" w:eastAsia="Aptos" w:hAnsi="Aptos"/>
          <w:sz w:val="21"/>
          <w:szCs w:val="21"/>
        </w:rPr>
        <w:t xml:space="preserve"/>
      </w:r>
    </w:p>
    <w:p>
      <w:pPr>
        <w:spacing w:after="40"/>
      </w:pPr>
      <w:r>
        <w:rPr>
          <w:rFonts w:ascii="Aptos" w:cs="Aptos" w:eastAsia="Aptos" w:hAnsi="Aptos"/>
          <w:b/>
          <w:bCs/>
          <w:color w:val="1F6FEB"/>
          <w:spacing w:val="30"/>
          <w:sz w:val="17"/>
          <w:szCs w:val="17"/>
        </w:rPr>
        <w:t xml:space="preserve">BLOCK 04</w:t>
      </w:r>
    </w:p>
    <w:p>
      <w:pPr>
        <w:pStyle w:val="Heading2"/>
        <w:spacing w:after="60"/>
      </w:pPr>
      <w:r>
        <w:rPr>
          <w:rFonts w:ascii="Aptos" w:cs="Aptos" w:eastAsia="Aptos" w:hAnsi="Aptos"/>
          <w:b/>
          <w:bCs/>
          <w:color w:val="0A1B3D"/>
          <w:sz w:val="27"/>
          <w:szCs w:val="27"/>
        </w:rPr>
        <w:t xml:space="preserve">Coverage table</w:t>
      </w:r>
    </w:p>
    <w:p>
      <w:pPr>
        <w:spacing w:after="140"/>
      </w:pPr>
      <w:r>
        <w:rPr>
          <w:rFonts w:ascii="Aptos" w:cs="Aptos" w:eastAsia="Aptos" w:hAnsi="Aptos"/>
          <w:color w:val="5A6472"/>
          <w:sz w:val="20"/>
          <w:szCs w:val="20"/>
        </w:rPr>
        <w:t xml:space="preserve">Regulation-by-regulation proof of scope. The highest-value block on the page for search and for AI answer engines.</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1950"/>
        <w:gridCol w:w="7076"/>
      </w:tblGrid>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EYEBROW</w:t>
            </w:r>
          </w:p>
        </w:tc>
        <w:tc>
          <w:tcPr>
            <w:tcW w:type="dxa" w:w="7076"/>
            <w:tcMar>
              <w:top w:type="dxa" w:w="110"/>
              <w:left w:type="dxa" w:w="150"/>
              <w:bottom w:type="dxa" w:w="110"/>
              <w:right w:type="dxa" w:w="150"/>
            </w:tcMar>
          </w:tcPr>
          <w:p>
            <w:pPr>
              <w:spacing w:after="0" w:line="264"/>
            </w:pPr>
            <w:r>
              <w:rPr>
                <w:rFonts w:ascii="Aptos" w:cs="Aptos" w:eastAsia="Aptos" w:hAnsi="Aptos"/>
                <w:b/>
                <w:bCs/>
                <w:color w:val="0E9A8D"/>
                <w:spacing w:val="24"/>
                <w:sz w:val="18"/>
                <w:szCs w:val="18"/>
              </w:rPr>
              <w:t xml:space="preserve">FULL COVERAGE</w:t>
            </w:r>
            <w:r>
              <w:rPr>
                <w:rFonts w:ascii="Aptos" w:cs="Aptos" w:eastAsia="Aptos" w:hAnsi="Aptos"/>
                <w:color w:val="8A94A3"/>
                <w:sz w:val="15"/>
                <w:szCs w:val="15"/>
              </w:rPr>
              <w:t xml:space="preserve">   13 ch</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H2</w:t>
            </w:r>
          </w:p>
        </w:tc>
        <w:tc>
          <w:tcPr>
            <w:tcW w:type="dxa" w:w="7076"/>
            <w:tcMar>
              <w:top w:type="dxa" w:w="110"/>
              <w:left w:type="dxa" w:w="150"/>
              <w:bottom w:type="dxa" w:w="110"/>
              <w:right w:type="dxa" w:w="150"/>
            </w:tcMar>
          </w:tcPr>
          <w:p>
            <w:pPr>
              <w:spacing w:after="0" w:line="264"/>
            </w:pPr>
            <w:r>
              <w:rPr>
                <w:rFonts w:ascii="Aptos" w:cs="Aptos" w:eastAsia="Aptos" w:hAnsi="Aptos"/>
                <w:b/>
                <w:bCs/>
                <w:color w:val="0A1B3D"/>
                <w:sz w:val="23"/>
                <w:szCs w:val="23"/>
              </w:rPr>
              <w:t xml:space="preserve">Regulations 4 to 11, clause by clause.</w:t>
            </w:r>
            <w:r>
              <w:rPr>
                <w:rFonts w:ascii="Aptos" w:cs="Aptos" w:eastAsia="Aptos" w:hAnsi="Aptos"/>
                <w:color w:val="8A94A3"/>
                <w:sz w:val="15"/>
                <w:szCs w:val="15"/>
              </w:rPr>
              <w:t xml:space="preserve">   38 ch</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INTRO</w:t>
            </w:r>
          </w:p>
        </w:tc>
        <w:tc>
          <w:tcPr>
            <w:tcW w:type="dxa" w:w="7076"/>
            <w:tcMar>
              <w:top w:type="dxa" w:w="110"/>
              <w:left w:type="dxa" w:w="150"/>
              <w:bottom w:type="dxa" w:w="110"/>
              <w:right w:type="dxa" w:w="150"/>
            </w:tcMar>
          </w:tcPr>
          <w:p>
            <w:pPr>
              <w:spacing w:after="0" w:line="264"/>
            </w:pPr>
            <w:r>
              <w:rPr>
                <w:rFonts w:ascii="Aptos" w:cs="Aptos" w:eastAsia="Aptos" w:hAnsi="Aptos"/>
                <w:sz w:val="20"/>
                <w:szCs w:val="20"/>
              </w:rPr>
              <w:t xml:space="preserve">What each regulation requires of a licensee, and what we do about it.</w:t>
            </w:r>
            <w:r>
              <w:rPr>
                <w:rFonts w:ascii="Aptos" w:cs="Aptos" w:eastAsia="Aptos" w:hAnsi="Aptos"/>
                <w:color w:val="8A94A3"/>
                <w:sz w:val="15"/>
                <w:szCs w:val="15"/>
              </w:rPr>
              <w:t xml:space="preserve">   69 ch</w:t>
            </w:r>
          </w:p>
        </w:tc>
      </w:tr>
    </w:tbl>
    <w:p>
      <w:pPr>
        <w:spacing w:after="140"/>
      </w:pPr>
      <w:r>
        <w:rPr>
          <w:rFonts w:ascii="Aptos" w:cs="Aptos" w:eastAsia="Aptos" w:hAnsi="Aptos"/>
          <w:sz w:val="21"/>
          <w:szCs w:val="21"/>
        </w:rPr>
        <w:t xml:space="preserve"/>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700"/>
        <w:gridCol w:w="2600"/>
        <w:gridCol w:w="5726"/>
      </w:tblGrid>
      <w:tr>
        <w:trPr>
          <w:tblHeader/>
        </w:trPr>
        <w:tc>
          <w:tcPr>
            <w:tcW w:type="dxa" w:w="7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Reg.</w:t>
            </w:r>
          </w:p>
        </w:tc>
        <w:tc>
          <w:tcPr>
            <w:tcW w:type="dxa" w:w="26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What it requires</w:t>
            </w:r>
          </w:p>
        </w:tc>
        <w:tc>
          <w:tcPr>
            <w:tcW w:type="dxa" w:w="5726"/>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What we do</w:t>
            </w:r>
          </w:p>
        </w:tc>
      </w:tr>
      <w:tr>
        <w:tc>
          <w:tcPr>
            <w:tcW w:type="dxa" w:w="7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4</w:t>
            </w:r>
          </w:p>
        </w:tc>
        <w:tc>
          <w:tcPr>
            <w:tcW w:type="dxa" w:w="26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Security policy &amp; governance</w:t>
            </w:r>
          </w:p>
        </w:tc>
        <w:tc>
          <w:tcPr>
            <w:tcW w:type="dxa" w:w="57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Policies, SOPs, cyber organisation, CISO/lead appointment, asset inventory and classification, change and patch procedures, BCP, NEPRA/PowerCERT channel</w:t>
            </w:r>
          </w:p>
        </w:tc>
      </w:tr>
      <w:tr>
        <w:tc>
          <w:tcPr>
            <w:tcW w:type="dxa" w:w="7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5</w:t>
            </w:r>
          </w:p>
        </w:tc>
        <w:tc>
          <w:tcPr>
            <w:tcW w:type="dxa" w:w="26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Security controls implementation</w:t>
            </w:r>
          </w:p>
        </w:tc>
        <w:tc>
          <w:tcPr>
            <w:tcW w:type="dxa" w:w="57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IAM and least privilege, MFA, IT–OT segregation, firewalls and allow-listing, secure vendor VPN, endpoint and removable-media control, IDS/IPS at OT boundaries, log retention, control-room access, GPS time sync</w:t>
            </w:r>
          </w:p>
        </w:tc>
      </w:tr>
      <w:tr>
        <w:tc>
          <w:tcPr>
            <w:tcW w:type="dxa" w:w="7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6</w:t>
            </w:r>
          </w:p>
        </w:tc>
        <w:tc>
          <w:tcPr>
            <w:tcW w:type="dxa" w:w="26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Security risk &amp; vulnerability assessment</w:t>
            </w:r>
          </w:p>
        </w:tc>
        <w:tc>
          <w:tcPr>
            <w:tcW w:type="dxa" w:w="57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Annual IT and OT risk assessment, vulnerability assessment across SCADA and IT, critical-system identification, remediation programme, reassessment after incidents or major change</w:t>
            </w:r>
          </w:p>
        </w:tc>
      </w:tr>
      <w:tr>
        <w:tc>
          <w:tcPr>
            <w:tcW w:type="dxa" w:w="7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7</w:t>
            </w:r>
          </w:p>
        </w:tc>
        <w:tc>
          <w:tcPr>
            <w:tcW w:type="dxa" w:w="26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Data integrity &amp; confidentiality</w:t>
            </w:r>
          </w:p>
        </w:tc>
        <w:tc>
          <w:tcPr>
            <w:tcW w:type="dxa" w:w="57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Controls over IT/OT data authenticity, secure exchange with grid operators and ISMO, restricted access to critical telemetry</w:t>
            </w:r>
          </w:p>
        </w:tc>
      </w:tr>
      <w:tr>
        <w:tc>
          <w:tcPr>
            <w:tcW w:type="dxa" w:w="7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8</w:t>
            </w:r>
          </w:p>
        </w:tc>
        <w:tc>
          <w:tcPr>
            <w:tcW w:type="dxa" w:w="26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Authority-mandated audit support</w:t>
            </w:r>
          </w:p>
        </w:tc>
        <w:tc>
          <w:tcPr>
            <w:tcW w:type="dxa" w:w="57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Readiness for a NEPRA-directed technical audit, and an evidence pack organised for submission</w:t>
            </w:r>
          </w:p>
        </w:tc>
      </w:tr>
      <w:tr>
        <w:tc>
          <w:tcPr>
            <w:tcW w:type="dxa" w:w="7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9</w:t>
            </w:r>
          </w:p>
        </w:tc>
        <w:tc>
          <w:tcPr>
            <w:tcW w:type="dxa" w:w="26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Monitoring &amp; incident response</w:t>
            </w:r>
          </w:p>
        </w:tc>
        <w:tc>
          <w:tcPr>
            <w:tcW w:type="dxa" w:w="57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Control monitoring across IT and OT, incident response plan for plant and SCADA, response-team procedures, recovery and restoration, reporting to National CERT and PowerCERT</w:t>
            </w:r>
          </w:p>
        </w:tc>
      </w:tr>
      <w:tr>
        <w:tc>
          <w:tcPr>
            <w:tcW w:type="dxa" w:w="7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10</w:t>
            </w:r>
          </w:p>
        </w:tc>
        <w:tc>
          <w:tcPr>
            <w:tcW w:type="dxa" w:w="26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Awareness &amp; training</w:t>
            </w:r>
          </w:p>
        </w:tc>
        <w:tc>
          <w:tcPr>
            <w:tcW w:type="dxa" w:w="57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Awareness programmes for IT and OT personnel, SCADA operator and engineer training, roles and reporting lines</w:t>
            </w:r>
          </w:p>
        </w:tc>
      </w:tr>
      <w:tr>
        <w:tc>
          <w:tcPr>
            <w:tcW w:type="dxa" w:w="7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11</w:t>
            </w:r>
          </w:p>
        </w:tc>
        <w:tc>
          <w:tcPr>
            <w:tcW w:type="dxa" w:w="26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Regulatory reporting</w:t>
            </w:r>
          </w:p>
        </w:tc>
        <w:tc>
          <w:tcPr>
            <w:tcW w:type="dxa" w:w="57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Quarterly incident reporting to NEPRA, 72-hour reporting of significant incidents, documentation and correspondence with the Authority</w:t>
            </w:r>
          </w:p>
        </w:tc>
      </w:tr>
    </w:tbl>
    <w:p>
      <w:pPr>
        <w:spacing w:after="140"/>
      </w:pPr>
      <w:r>
        <w:rPr>
          <w:rFonts w:ascii="Aptos" w:cs="Aptos" w:eastAsia="Aptos" w:hAnsi="Aptos"/>
          <w:sz w:val="21"/>
          <w:szCs w:val="21"/>
        </w:rPr>
        <w:t xml:space="preserve"/>
      </w:r>
    </w:p>
    <w:tbl>
      <w:tblPr>
        <w:tblW w:type="dxa" w:w="9026"/>
        <w:tblBorders>
          <w:top w:val="single" w:color="FFF4E5" w:sz="2"/>
          <w:left w:val="single" w:color="F59E0B" w:sz="16"/>
          <w:bottom w:val="single" w:color="FFF4E5" w:sz="2"/>
          <w:right w:val="single" w:color="FFF4E5" w:sz="2"/>
          <w:insideH w:val="none" w:color="FFF4E5" w:sz="0"/>
          <w:insideV w:val="none" w:color="FFF4E5" w:sz="0"/>
        </w:tblBorders>
      </w:tblPr>
      <w:tblGrid>
        <w:gridCol w:w="9026"/>
      </w:tblGrid>
      <w:tr>
        <w:tc>
          <w:tcPr>
            <w:tcW w:type="dxa" w:w="9026"/>
            <w:shd w:fill="FFF4E5" w:color="auto" w:val="clear"/>
            <w:tcMar>
              <w:top w:type="dxa" w:w="150"/>
              <w:left w:type="dxa" w:w="210"/>
              <w:bottom w:type="dxa" w:w="150"/>
              <w:right w:type="dxa" w:w="210"/>
            </w:tcMar>
          </w:tcPr>
          <w:p>
            <w:r>
              <w:rPr>
                <w:rFonts w:ascii="Aptos" w:cs="Aptos" w:eastAsia="Aptos" w:hAnsi="Aptos"/>
                <w:b/>
                <w:bCs/>
                <w:color w:val="B45309"/>
                <w:sz w:val="16"/>
                <w:szCs w:val="16"/>
              </w:rPr>
              <w:t xml:space="preserve">DESIGN NOTE  </w:t>
            </w:r>
            <w:r>
              <w:rPr>
                <w:rFonts w:ascii="Aptos" w:cs="Aptos" w:eastAsia="Aptos" w:hAnsi="Aptos"/>
                <w:sz w:val="20"/>
                <w:szCs w:val="20"/>
              </w:rPr>
              <w:t xml:space="preserve">Build this as a real HTML &lt;table&gt; with text in the cells. Not an image, not an infographic, and not a set of styled divs that lose the row-and-column relationship for screen readers. This is the block an AI assistant will quote when someone asks what NEPRA IT/OT compliance involves, and almost nobody in Pakistan has published one. On mobile, let it scroll horizontally inside its own container rather than collapsing the columns.</w:t>
            </w:r>
          </w:p>
        </w:tc>
      </w:tr>
    </w:tbl>
    <w:p>
      <w:pPr>
        <w:pBdr>
          <w:top w:val="single" w:color="1F6FEB" w:sz="12"/>
        </w:pBdr>
        <w:spacing w:after="40" w:before="420"/>
      </w:pPr>
      <w:r>
        <w:rPr>
          <w:rFonts w:ascii="Aptos" w:cs="Aptos" w:eastAsia="Aptos" w:hAnsi="Aptos"/>
          <w:sz w:val="21"/>
          <w:szCs w:val="21"/>
        </w:rPr>
        <w:t xml:space="preserve"/>
      </w:r>
    </w:p>
    <w:p>
      <w:pPr>
        <w:spacing w:after="40"/>
      </w:pPr>
      <w:r>
        <w:rPr>
          <w:rFonts w:ascii="Aptos" w:cs="Aptos" w:eastAsia="Aptos" w:hAnsi="Aptos"/>
          <w:b/>
          <w:bCs/>
          <w:color w:val="1F6FEB"/>
          <w:spacing w:val="30"/>
          <w:sz w:val="17"/>
          <w:szCs w:val="17"/>
        </w:rPr>
        <w:t xml:space="preserve">BLOCK 05</w:t>
      </w:r>
    </w:p>
    <w:p>
      <w:pPr>
        <w:pStyle w:val="Heading2"/>
        <w:spacing w:after="60"/>
      </w:pPr>
      <w:r>
        <w:rPr>
          <w:rFonts w:ascii="Aptos" w:cs="Aptos" w:eastAsia="Aptos" w:hAnsi="Aptos"/>
          <w:b/>
          <w:bCs/>
          <w:color w:val="0A1B3D"/>
          <w:sz w:val="27"/>
          <w:szCs w:val="27"/>
        </w:rPr>
        <w:t xml:space="preserve">Mid-page CTA</w:t>
      </w:r>
    </w:p>
    <w:p>
      <w:pPr>
        <w:spacing w:after="140"/>
      </w:pPr>
      <w:r>
        <w:rPr>
          <w:rFonts w:ascii="Aptos" w:cs="Aptos" w:eastAsia="Aptos" w:hAnsi="Aptos"/>
          <w:color w:val="5A6472"/>
          <w:sz w:val="20"/>
          <w:szCs w:val="20"/>
        </w:rPr>
        <w:t xml:space="preserve">A quiet strip for the reader who is already convinced and does not need the credentials.</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1950"/>
        <w:gridCol w:w="7076"/>
      </w:tblGrid>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BODY</w:t>
            </w:r>
          </w:p>
        </w:tc>
        <w:tc>
          <w:tcPr>
            <w:tcW w:type="dxa" w:w="7076"/>
            <w:tcMar>
              <w:top w:type="dxa" w:w="110"/>
              <w:left w:type="dxa" w:w="150"/>
              <w:bottom w:type="dxa" w:w="110"/>
              <w:right w:type="dxa" w:w="150"/>
            </w:tcMar>
          </w:tcPr>
          <w:p>
            <w:pPr>
              <w:spacing w:after="0" w:line="264"/>
            </w:pPr>
            <w:r>
              <w:rPr>
                <w:rFonts w:ascii="Aptos" w:cs="Aptos" w:eastAsia="Aptos" w:hAnsi="Aptos"/>
                <w:sz w:val="20"/>
                <w:szCs w:val="20"/>
              </w:rPr>
              <w:t xml:space="preserve">Not sure which regulations you are already meeting? That is what the first call is for.</w:t>
            </w:r>
            <w:r>
              <w:rPr>
                <w:rFonts w:ascii="Aptos" w:cs="Aptos" w:eastAsia="Aptos" w:hAnsi="Aptos"/>
                <w:color w:val="8A94A3"/>
                <w:sz w:val="15"/>
                <w:szCs w:val="15"/>
              </w:rPr>
              <w:t xml:space="preserve">   87 ch</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BUTTON 1</w:t>
            </w:r>
          </w:p>
        </w:tc>
        <w:tc>
          <w:tcPr>
            <w:tcW w:type="dxa" w:w="7076"/>
            <w:tcMar>
              <w:top w:type="dxa" w:w="110"/>
              <w:left w:type="dxa" w:w="150"/>
              <w:bottom w:type="dxa" w:w="110"/>
              <w:right w:type="dxa" w:w="150"/>
            </w:tcMar>
          </w:tcPr>
          <w:p>
            <w:pPr>
              <w:spacing w:after="0" w:line="264"/>
            </w:pPr>
            <w:r>
              <w:rPr>
                <w:rFonts w:ascii="Aptos" w:cs="Aptos" w:eastAsia="Aptos" w:hAnsi="Aptos"/>
                <w:b/>
                <w:bCs/>
                <w:color w:val="1F6FEB"/>
                <w:sz w:val="20"/>
                <w:szCs w:val="20"/>
              </w:rPr>
              <w:t xml:space="preserve">[ Call +92 21 3586 9200 ]</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BUTTON 2</w:t>
            </w:r>
          </w:p>
        </w:tc>
        <w:tc>
          <w:tcPr>
            <w:tcW w:type="dxa" w:w="7076"/>
            <w:tcMar>
              <w:top w:type="dxa" w:w="110"/>
              <w:left w:type="dxa" w:w="150"/>
              <w:bottom w:type="dxa" w:w="110"/>
              <w:right w:type="dxa" w:w="150"/>
            </w:tcMar>
          </w:tcPr>
          <w:p>
            <w:pPr>
              <w:spacing w:after="0" w:line="264"/>
            </w:pPr>
            <w:r>
              <w:rPr>
                <w:rFonts w:ascii="Aptos" w:cs="Aptos" w:eastAsia="Aptos" w:hAnsi="Aptos"/>
                <w:b/>
                <w:bCs/>
                <w:color w:val="1F6FEB"/>
                <w:sz w:val="20"/>
                <w:szCs w:val="20"/>
              </w:rPr>
              <w:t xml:space="preserve">[ Email xsecurity@xloopdigital.com ]</w:t>
            </w:r>
          </w:p>
        </w:tc>
      </w:tr>
    </w:tbl>
    <w:p>
      <w:pPr>
        <w:spacing w:after="120"/>
      </w:pPr>
      <w:r>
        <w:rPr>
          <w:rFonts w:ascii="Aptos" w:cs="Aptos" w:eastAsia="Aptos" w:hAnsi="Aptos"/>
          <w:sz w:val="21"/>
          <w:szCs w:val="21"/>
        </w:rPr>
        <w:t xml:space="preserve"/>
      </w:r>
    </w:p>
    <w:p>
      <w:pPr>
        <w:spacing w:after="120" w:line="276"/>
      </w:pPr>
      <w:r>
        <w:rPr>
          <w:rFonts w:ascii="Aptos" w:cs="Aptos" w:eastAsia="Aptos" w:hAnsi="Aptos"/>
          <w:sz w:val="21"/>
          <w:szCs w:val="21"/>
        </w:rPr>
        <w:t xml:space="preserve">Single-line strip, full width, no image. Visually lighter than block 09 so the closing CTA still lands as the page’s conclusion.</w:t>
      </w:r>
    </w:p>
    <w:p>
      <w:pPr>
        <w:pBdr>
          <w:top w:val="single" w:color="1F6FEB" w:sz="12"/>
        </w:pBdr>
        <w:spacing w:after="40" w:before="420"/>
      </w:pPr>
      <w:r>
        <w:rPr>
          <w:rFonts w:ascii="Aptos" w:cs="Aptos" w:eastAsia="Aptos" w:hAnsi="Aptos"/>
          <w:sz w:val="21"/>
          <w:szCs w:val="21"/>
        </w:rPr>
        <w:t xml:space="preserve"/>
      </w:r>
    </w:p>
    <w:p>
      <w:pPr>
        <w:spacing w:after="40"/>
      </w:pPr>
      <w:r>
        <w:rPr>
          <w:rFonts w:ascii="Aptos" w:cs="Aptos" w:eastAsia="Aptos" w:hAnsi="Aptos"/>
          <w:b/>
          <w:bCs/>
          <w:color w:val="1F6FEB"/>
          <w:spacing w:val="30"/>
          <w:sz w:val="17"/>
          <w:szCs w:val="17"/>
        </w:rPr>
        <w:t xml:space="preserve">BLOCK 06</w:t>
      </w:r>
    </w:p>
    <w:p>
      <w:pPr>
        <w:pStyle w:val="Heading2"/>
        <w:spacing w:after="60"/>
      </w:pPr>
      <w:r>
        <w:rPr>
          <w:rFonts w:ascii="Aptos" w:cs="Aptos" w:eastAsia="Aptos" w:hAnsi="Aptos"/>
          <w:b/>
          <w:bCs/>
          <w:color w:val="0A1B3D"/>
          <w:sz w:val="27"/>
          <w:szCs w:val="27"/>
        </w:rPr>
        <w:t xml:space="preserve">What you receive</w:t>
      </w:r>
    </w:p>
    <w:p>
      <w:pPr>
        <w:spacing w:after="140"/>
      </w:pPr>
      <w:r>
        <w:rPr>
          <w:rFonts w:ascii="Aptos" w:cs="Aptos" w:eastAsia="Aptos" w:hAnsi="Aptos"/>
          <w:color w:val="5A6472"/>
          <w:sz w:val="20"/>
          <w:szCs w:val="20"/>
        </w:rPr>
        <w:t xml:space="preserve">Converts an abstract service into a concrete list of documents. This is what a procurement reader is looking for.</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1950"/>
        <w:gridCol w:w="7076"/>
      </w:tblGrid>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EYEBROW</w:t>
            </w:r>
          </w:p>
        </w:tc>
        <w:tc>
          <w:tcPr>
            <w:tcW w:type="dxa" w:w="7076"/>
            <w:tcMar>
              <w:top w:type="dxa" w:w="110"/>
              <w:left w:type="dxa" w:w="150"/>
              <w:bottom w:type="dxa" w:w="110"/>
              <w:right w:type="dxa" w:w="150"/>
            </w:tcMar>
          </w:tcPr>
          <w:p>
            <w:pPr>
              <w:spacing w:after="0" w:line="264"/>
            </w:pPr>
            <w:r>
              <w:rPr>
                <w:rFonts w:ascii="Aptos" w:cs="Aptos" w:eastAsia="Aptos" w:hAnsi="Aptos"/>
                <w:b/>
                <w:bCs/>
                <w:color w:val="0E9A8D"/>
                <w:spacing w:val="24"/>
                <w:sz w:val="18"/>
                <w:szCs w:val="18"/>
              </w:rPr>
              <w:t xml:space="preserve">WHAT YOU RECEIVE</w:t>
            </w:r>
            <w:r>
              <w:rPr>
                <w:rFonts w:ascii="Aptos" w:cs="Aptos" w:eastAsia="Aptos" w:hAnsi="Aptos"/>
                <w:color w:val="8A94A3"/>
                <w:sz w:val="15"/>
                <w:szCs w:val="15"/>
              </w:rPr>
              <w:t xml:space="preserve">   16 ch</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H2</w:t>
            </w:r>
          </w:p>
        </w:tc>
        <w:tc>
          <w:tcPr>
            <w:tcW w:type="dxa" w:w="7076"/>
            <w:tcMar>
              <w:top w:type="dxa" w:w="110"/>
              <w:left w:type="dxa" w:w="150"/>
              <w:bottom w:type="dxa" w:w="110"/>
              <w:right w:type="dxa" w:w="150"/>
            </w:tcMar>
          </w:tcPr>
          <w:p>
            <w:pPr>
              <w:spacing w:after="0" w:line="264"/>
            </w:pPr>
            <w:r>
              <w:rPr>
                <w:rFonts w:ascii="Aptos" w:cs="Aptos" w:eastAsia="Aptos" w:hAnsi="Aptos"/>
                <w:b/>
                <w:bCs/>
                <w:color w:val="0A1B3D"/>
                <w:sz w:val="23"/>
                <w:szCs w:val="23"/>
              </w:rPr>
              <w:t xml:space="preserve">You finish with an audit file, not a slide deck.</w:t>
            </w:r>
            <w:r>
              <w:rPr>
                <w:rFonts w:ascii="Aptos" w:cs="Aptos" w:eastAsia="Aptos" w:hAnsi="Aptos"/>
                <w:color w:val="8A94A3"/>
                <w:sz w:val="15"/>
                <w:szCs w:val="15"/>
              </w:rPr>
              <w:t xml:space="preserve">   48 ch</w:t>
            </w:r>
          </w:p>
        </w:tc>
      </w:tr>
    </w:tbl>
    <w:p>
      <w:pPr>
        <w:spacing w:after="120"/>
      </w:pPr>
      <w:r>
        <w:rPr>
          <w:rFonts w:ascii="Aptos" w:cs="Aptos" w:eastAsia="Aptos" w:hAnsi="Aptos"/>
          <w:sz w:val="21"/>
          <w:szCs w:val="21"/>
        </w:rPr>
        <w:t xml:space="preserve"/>
      </w:r>
    </w:p>
    <w:p>
      <w:pPr>
        <w:spacing w:after="120" w:line="276"/>
      </w:pPr>
      <w:r>
        <w:rPr>
          <w:rFonts w:ascii="Aptos" w:cs="Aptos" w:eastAsia="Aptos" w:hAnsi="Aptos"/>
          <w:sz w:val="21"/>
          <w:szCs w:val="21"/>
        </w:rPr>
        <w:t xml:space="preserve">Six items. A numbered or ruled list reads better here than cards — these are deliverables in a set, not parallel options.</w:t>
      </w:r>
    </w:p>
    <w:p>
      <w:pPr>
        <w:spacing w:after="60"/>
      </w:pPr>
      <w:r>
        <w:rPr>
          <w:rFonts w:ascii="Aptos" w:cs="Aptos" w:eastAsia="Aptos" w:hAnsi="Aptos"/>
          <w:sz w:val="21"/>
          <w:szCs w:val="21"/>
        </w:rPr>
        <w:t xml:space="preserve"/>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2700"/>
        <w:gridCol w:w="6326"/>
      </w:tblGrid>
      <w:tr>
        <w:trPr>
          <w:tblHeader/>
        </w:trPr>
        <w:tc>
          <w:tcPr>
            <w:tcW w:type="dxa" w:w="27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Deliverable</w:t>
            </w:r>
          </w:p>
        </w:tc>
        <w:tc>
          <w:tcPr>
            <w:tcW w:type="dxa" w:w="6326"/>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Description</w:t>
            </w:r>
          </w:p>
        </w:tc>
      </w:tr>
      <w:tr>
        <w:tc>
          <w:tcPr>
            <w:tcW w:type="dxa" w:w="27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NEPRA Compliance Report</w:t>
            </w:r>
          </w:p>
        </w:tc>
        <w:tc>
          <w:tcPr>
            <w:tcW w:type="dxa" w:w="63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Clause-by-clause scoring against Regulations 4–11.</w:t>
            </w:r>
          </w:p>
        </w:tc>
      </w:tr>
      <w:tr>
        <w:tc>
          <w:tcPr>
            <w:tcW w:type="dxa" w:w="27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Risk &amp; Gap Analysis</w:t>
            </w:r>
          </w:p>
        </w:tc>
        <w:tc>
          <w:tcPr>
            <w:tcW w:type="dxa" w:w="63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Findings rated and prioritised.</w:t>
            </w:r>
          </w:p>
        </w:tc>
      </w:tr>
      <w:tr>
        <w:tc>
          <w:tcPr>
            <w:tcW w:type="dxa" w:w="27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VAPT Report</w:t>
            </w:r>
          </w:p>
        </w:tc>
        <w:tc>
          <w:tcPr>
            <w:tcW w:type="dxa" w:w="63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IT penetration testing results and OT exposure findings.</w:t>
            </w:r>
          </w:p>
        </w:tc>
      </w:tr>
      <w:tr>
        <w:tc>
          <w:tcPr>
            <w:tcW w:type="dxa" w:w="27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Statement of Applicability</w:t>
            </w:r>
          </w:p>
        </w:tc>
        <w:tc>
          <w:tcPr>
            <w:tcW w:type="dxa" w:w="63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Every clause mapped to your IT and OT systems, with justifications and evidence expectations.</w:t>
            </w:r>
          </w:p>
        </w:tc>
      </w:tr>
      <w:tr>
        <w:tc>
          <w:tcPr>
            <w:tcW w:type="dxa" w:w="27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Remediation roadmap</w:t>
            </w:r>
          </w:p>
        </w:tc>
        <w:tc>
          <w:tcPr>
            <w:tcW w:type="dxa" w:w="63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Sequenced, with owners.</w:t>
            </w:r>
          </w:p>
        </w:tc>
      </w:tr>
      <w:tr>
        <w:tc>
          <w:tcPr>
            <w:tcW w:type="dxa" w:w="27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Closing presentation</w:t>
            </w:r>
          </w:p>
        </w:tc>
        <w:tc>
          <w:tcPr>
            <w:tcW w:type="dxa" w:w="63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Executive-ready, for your board or management committee.</w:t>
            </w:r>
          </w:p>
        </w:tc>
      </w:tr>
    </w:tbl>
    <w:p>
      <w:pPr>
        <w:pBdr>
          <w:top w:val="single" w:color="1F6FEB" w:sz="12"/>
        </w:pBdr>
        <w:spacing w:after="40" w:before="420"/>
      </w:pPr>
      <w:r>
        <w:rPr>
          <w:rFonts w:ascii="Aptos" w:cs="Aptos" w:eastAsia="Aptos" w:hAnsi="Aptos"/>
          <w:sz w:val="21"/>
          <w:szCs w:val="21"/>
        </w:rPr>
        <w:t xml:space="preserve"/>
      </w:r>
    </w:p>
    <w:p>
      <w:pPr>
        <w:spacing w:after="40"/>
      </w:pPr>
      <w:r>
        <w:rPr>
          <w:rFonts w:ascii="Aptos" w:cs="Aptos" w:eastAsia="Aptos" w:hAnsi="Aptos"/>
          <w:b/>
          <w:bCs/>
          <w:color w:val="1F6FEB"/>
          <w:spacing w:val="30"/>
          <w:sz w:val="17"/>
          <w:szCs w:val="17"/>
        </w:rPr>
        <w:t xml:space="preserve">BLOCK 07</w:t>
      </w:r>
    </w:p>
    <w:p>
      <w:pPr>
        <w:pStyle w:val="Heading2"/>
        <w:spacing w:after="60"/>
      </w:pPr>
      <w:r>
        <w:rPr>
          <w:rFonts w:ascii="Aptos" w:cs="Aptos" w:eastAsia="Aptos" w:hAnsi="Aptos"/>
          <w:b/>
          <w:bCs/>
          <w:color w:val="0A1B3D"/>
          <w:sz w:val="27"/>
          <w:szCs w:val="27"/>
        </w:rPr>
        <w:t xml:space="preserve">Why xLoop</w:t>
      </w:r>
    </w:p>
    <w:p>
      <w:pPr>
        <w:spacing w:after="140"/>
      </w:pPr>
      <w:r>
        <w:rPr>
          <w:rFonts w:ascii="Aptos" w:cs="Aptos" w:eastAsia="Aptos" w:hAnsi="Aptos"/>
          <w:color w:val="5A6472"/>
          <w:sz w:val="20"/>
          <w:szCs w:val="20"/>
        </w:rPr>
        <w:t xml:space="preserve">Credentials. Stated conservatively and deliberately — see the constraint note.</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1950"/>
        <w:gridCol w:w="7076"/>
      </w:tblGrid>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EYEBROW</w:t>
            </w:r>
          </w:p>
        </w:tc>
        <w:tc>
          <w:tcPr>
            <w:tcW w:type="dxa" w:w="7076"/>
            <w:tcMar>
              <w:top w:type="dxa" w:w="110"/>
              <w:left w:type="dxa" w:w="150"/>
              <w:bottom w:type="dxa" w:w="110"/>
              <w:right w:type="dxa" w:w="150"/>
            </w:tcMar>
          </w:tcPr>
          <w:p>
            <w:pPr>
              <w:spacing w:after="0" w:line="264"/>
            </w:pPr>
            <w:r>
              <w:rPr>
                <w:rFonts w:ascii="Aptos" w:cs="Aptos" w:eastAsia="Aptos" w:hAnsi="Aptos"/>
                <w:b/>
                <w:bCs/>
                <w:color w:val="0E9A8D"/>
                <w:spacing w:val="24"/>
                <w:sz w:val="18"/>
                <w:szCs w:val="18"/>
              </w:rPr>
              <w:t xml:space="preserve">WHY XLOOP</w:t>
            </w:r>
            <w:r>
              <w:rPr>
                <w:rFonts w:ascii="Aptos" w:cs="Aptos" w:eastAsia="Aptos" w:hAnsi="Aptos"/>
                <w:color w:val="8A94A3"/>
                <w:sz w:val="15"/>
                <w:szCs w:val="15"/>
              </w:rPr>
              <w:t xml:space="preserve">   9 ch</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H2</w:t>
            </w:r>
          </w:p>
        </w:tc>
        <w:tc>
          <w:tcPr>
            <w:tcW w:type="dxa" w:w="7076"/>
            <w:tcMar>
              <w:top w:type="dxa" w:w="110"/>
              <w:left w:type="dxa" w:w="150"/>
              <w:bottom w:type="dxa" w:w="110"/>
              <w:right w:type="dxa" w:w="150"/>
            </w:tcMar>
          </w:tcPr>
          <w:p>
            <w:pPr>
              <w:spacing w:after="0" w:line="264"/>
            </w:pPr>
            <w:r>
              <w:rPr>
                <w:rFonts w:ascii="Aptos" w:cs="Aptos" w:eastAsia="Aptos" w:hAnsi="Aptos"/>
                <w:b/>
                <w:bCs/>
                <w:color w:val="0A1B3D"/>
                <w:sz w:val="23"/>
                <w:szCs w:val="23"/>
              </w:rPr>
              <w:t xml:space="preserve">Independent, evidence-based, and done before.</w:t>
            </w:r>
            <w:r>
              <w:rPr>
                <w:rFonts w:ascii="Aptos" w:cs="Aptos" w:eastAsia="Aptos" w:hAnsi="Aptos"/>
                <w:color w:val="8A94A3"/>
                <w:sz w:val="15"/>
                <w:szCs w:val="15"/>
              </w:rPr>
              <w:t xml:space="preserve">   45 ch</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POINT 1</w:t>
            </w:r>
          </w:p>
        </w:tc>
        <w:tc>
          <w:tcPr>
            <w:tcW w:type="dxa" w:w="7076"/>
            <w:tcMar>
              <w:top w:type="dxa" w:w="110"/>
              <w:left w:type="dxa" w:w="150"/>
              <w:bottom w:type="dxa" w:w="110"/>
              <w:right w:type="dxa" w:w="150"/>
            </w:tcMar>
          </w:tcPr>
          <w:p>
            <w:pPr>
              <w:spacing w:after="0" w:line="264"/>
            </w:pPr>
            <w:r>
              <w:rPr>
                <w:rFonts w:ascii="Aptos" w:cs="Aptos" w:eastAsia="Aptos" w:hAnsi="Aptos"/>
                <w:sz w:val="20"/>
                <w:szCs w:val="20"/>
              </w:rPr>
              <w:t xml:space="preserve">Audits led by certified ISO 27001 and ISO 42001 Lead Auditors.</w:t>
            </w:r>
            <w:r>
              <w:rPr>
                <w:rFonts w:ascii="Aptos" w:cs="Aptos" w:eastAsia="Aptos" w:hAnsi="Aptos"/>
                <w:color w:val="8A94A3"/>
                <w:sz w:val="15"/>
                <w:szCs w:val="15"/>
              </w:rPr>
              <w:t xml:space="preserve">   62 ch</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POINT 2</w:t>
            </w:r>
          </w:p>
        </w:tc>
        <w:tc>
          <w:tcPr>
            <w:tcW w:type="dxa" w:w="7076"/>
            <w:tcMar>
              <w:top w:type="dxa" w:w="110"/>
              <w:left w:type="dxa" w:w="150"/>
              <w:bottom w:type="dxa" w:w="110"/>
              <w:right w:type="dxa" w:w="150"/>
            </w:tcMar>
          </w:tcPr>
          <w:p>
            <w:pPr>
              <w:spacing w:after="0" w:line="264"/>
            </w:pPr>
            <w:r>
              <w:rPr>
                <w:rFonts w:ascii="Aptos" w:cs="Aptos" w:eastAsia="Aptos" w:hAnsi="Aptos"/>
                <w:sz w:val="20"/>
                <w:szCs w:val="20"/>
              </w:rPr>
              <w:t xml:space="preserve">We have delivered a full NEPRA IT/OT compliance audit for a live 30 MW wind IPP, covering head office and two plant sites.</w:t>
            </w:r>
            <w:r>
              <w:rPr>
                <w:rFonts w:ascii="Aptos" w:cs="Aptos" w:eastAsia="Aptos" w:hAnsi="Aptos"/>
                <w:color w:val="8A94A3"/>
                <w:sz w:val="15"/>
                <w:szCs w:val="15"/>
              </w:rPr>
              <w:t xml:space="preserve">   122 ch</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POINT 3</w:t>
            </w:r>
          </w:p>
        </w:tc>
        <w:tc>
          <w:tcPr>
            <w:tcW w:type="dxa" w:w="7076"/>
            <w:tcMar>
              <w:top w:type="dxa" w:w="110"/>
              <w:left w:type="dxa" w:w="150"/>
              <w:bottom w:type="dxa" w:w="110"/>
              <w:right w:type="dxa" w:w="150"/>
            </w:tcMar>
          </w:tcPr>
          <w:p>
            <w:pPr>
              <w:spacing w:after="0" w:line="264"/>
            </w:pPr>
            <w:r>
              <w:rPr>
                <w:rFonts w:ascii="Aptos" w:cs="Aptos" w:eastAsia="Aptos" w:hAnsi="Aptos"/>
                <w:sz w:val="20"/>
                <w:szCs w:val="20"/>
              </w:rPr>
              <w:t xml:space="preserve">Clause-level regulatory traceability. An evidence-based, defensible assessment, not a checklist.</w:t>
            </w:r>
            <w:r>
              <w:rPr>
                <w:rFonts w:ascii="Aptos" w:cs="Aptos" w:eastAsia="Aptos" w:hAnsi="Aptos"/>
                <w:color w:val="8A94A3"/>
                <w:sz w:val="15"/>
                <w:szCs w:val="15"/>
              </w:rPr>
              <w:t xml:space="preserve">   96 ch</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POINT 4</w:t>
            </w:r>
          </w:p>
        </w:tc>
        <w:tc>
          <w:tcPr>
            <w:tcW w:type="dxa" w:w="7076"/>
            <w:tcMar>
              <w:top w:type="dxa" w:w="110"/>
              <w:left w:type="dxa" w:w="150"/>
              <w:bottom w:type="dxa" w:w="110"/>
              <w:right w:type="dxa" w:w="150"/>
            </w:tcMar>
          </w:tcPr>
          <w:p>
            <w:pPr>
              <w:spacing w:after="0" w:line="264"/>
            </w:pPr>
            <w:r>
              <w:rPr>
                <w:rFonts w:ascii="Aptos" w:cs="Aptos" w:eastAsia="Aptos" w:hAnsi="Aptos"/>
                <w:sz w:val="20"/>
                <w:szCs w:val="20"/>
              </w:rPr>
              <w:t xml:space="preserve">A Karachi-based security practice, inside a digital engineering firm operating across nine countries.</w:t>
            </w:r>
            <w:r>
              <w:rPr>
                <w:rFonts w:ascii="Aptos" w:cs="Aptos" w:eastAsia="Aptos" w:hAnsi="Aptos"/>
                <w:color w:val="8A94A3"/>
                <w:sz w:val="15"/>
                <w:szCs w:val="15"/>
              </w:rPr>
              <w:t xml:space="preserve">   101 ch</w:t>
            </w:r>
          </w:p>
        </w:tc>
      </w:tr>
    </w:tbl>
    <w:p>
      <w:pPr>
        <w:spacing w:after="120"/>
      </w:pPr>
      <w:r>
        <w:rPr>
          <w:rFonts w:ascii="Aptos" w:cs="Aptos" w:eastAsia="Aptos" w:hAnsi="Aptos"/>
          <w:sz w:val="21"/>
          <w:szCs w:val="21"/>
        </w:rPr>
        <w:t xml:space="preserve"/>
      </w:r>
    </w:p>
    <w:tbl>
      <w:tblPr>
        <w:tblW w:type="dxa" w:w="9026"/>
        <w:tblBorders>
          <w:top w:val="single" w:color="FFF4E5" w:sz="2"/>
          <w:left w:val="single" w:color="F59E0B" w:sz="16"/>
          <w:bottom w:val="single" w:color="FFF4E5" w:sz="2"/>
          <w:right w:val="single" w:color="FFF4E5" w:sz="2"/>
          <w:insideH w:val="none" w:color="FFF4E5" w:sz="0"/>
          <w:insideV w:val="none" w:color="FFF4E5" w:sz="0"/>
        </w:tblBorders>
      </w:tblPr>
      <w:tblGrid>
        <w:gridCol w:w="9026"/>
      </w:tblGrid>
      <w:tr>
        <w:tc>
          <w:tcPr>
            <w:tcW w:type="dxa" w:w="9026"/>
            <w:shd w:fill="FFF4E5" w:color="auto" w:val="clear"/>
            <w:tcMar>
              <w:top w:type="dxa" w:w="150"/>
              <w:left w:type="dxa" w:w="210"/>
              <w:bottom w:type="dxa" w:w="150"/>
              <w:right w:type="dxa" w:w="210"/>
            </w:tcMar>
          </w:tcPr>
          <w:p>
            <w:r>
              <w:rPr>
                <w:rFonts w:ascii="Aptos" w:cs="Aptos" w:eastAsia="Aptos" w:hAnsi="Aptos"/>
                <w:b/>
                <w:bCs/>
                <w:color w:val="B45309"/>
                <w:sz w:val="16"/>
                <w:szCs w:val="16"/>
              </w:rPr>
              <w:t xml:space="preserve">DESIGN NOTE  </w:t>
            </w:r>
            <w:r>
              <w:rPr>
                <w:rFonts w:ascii="Aptos" w:cs="Aptos" w:eastAsia="Aptos" w:hAnsi="Aptos"/>
                <w:sz w:val="20"/>
                <w:szCs w:val="20"/>
              </w:rPr>
              <w:t xml:space="preserve">Do not strengthen this copy. Three constraints were set deliberately. (1) Named individuals hold the ISO certifications — xLoop is not claimed to be ISO 27001 certified as a company; do not let that sentence drift. (2) The wind IPP stays anonymous. (3) NIST, IEC 62443 and MITRE ATT&amp;CK are not claimed here, pending sign-off. If design needs a logo wall or certification badges to fill this block, ask before sourcing any — there are no company certification marks approved for this page.</w:t>
            </w:r>
          </w:p>
        </w:tc>
      </w:tr>
    </w:tbl>
    <w:p>
      <w:pPr>
        <w:pBdr>
          <w:top w:val="single" w:color="1F6FEB" w:sz="12"/>
        </w:pBdr>
        <w:spacing w:after="40" w:before="420"/>
      </w:pPr>
      <w:r>
        <w:rPr>
          <w:rFonts w:ascii="Aptos" w:cs="Aptos" w:eastAsia="Aptos" w:hAnsi="Aptos"/>
          <w:sz w:val="21"/>
          <w:szCs w:val="21"/>
        </w:rPr>
        <w:t xml:space="preserve"/>
      </w:r>
    </w:p>
    <w:p>
      <w:pPr>
        <w:spacing w:after="40"/>
      </w:pPr>
      <w:r>
        <w:rPr>
          <w:rFonts w:ascii="Aptos" w:cs="Aptos" w:eastAsia="Aptos" w:hAnsi="Aptos"/>
          <w:b/>
          <w:bCs/>
          <w:color w:val="1F6FEB"/>
          <w:spacing w:val="30"/>
          <w:sz w:val="17"/>
          <w:szCs w:val="17"/>
        </w:rPr>
        <w:t xml:space="preserve">BLOCK 08</w:t>
      </w:r>
    </w:p>
    <w:p>
      <w:pPr>
        <w:pStyle w:val="Heading2"/>
        <w:spacing w:after="60"/>
      </w:pPr>
      <w:r>
        <w:rPr>
          <w:rFonts w:ascii="Aptos" w:cs="Aptos" w:eastAsia="Aptos" w:hAnsi="Aptos"/>
          <w:b/>
          <w:bCs/>
          <w:color w:val="0A1B3D"/>
          <w:sz w:val="27"/>
          <w:szCs w:val="27"/>
        </w:rPr>
        <w:t xml:space="preserve">FAQ</w:t>
      </w:r>
    </w:p>
    <w:p>
      <w:pPr>
        <w:spacing w:after="140"/>
      </w:pPr>
      <w:r>
        <w:rPr>
          <w:rFonts w:ascii="Aptos" w:cs="Aptos" w:eastAsia="Aptos" w:hAnsi="Aptos"/>
          <w:color w:val="5A6472"/>
          <w:sz w:val="20"/>
          <w:szCs w:val="20"/>
        </w:rPr>
        <w:t xml:space="preserve">Six real questions. Also the block that AI assistants will quote, so each answer is written to stand alone.</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1950"/>
        <w:gridCol w:w="7076"/>
      </w:tblGrid>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EYEBROW</w:t>
            </w:r>
          </w:p>
        </w:tc>
        <w:tc>
          <w:tcPr>
            <w:tcW w:type="dxa" w:w="7076"/>
            <w:tcMar>
              <w:top w:type="dxa" w:w="110"/>
              <w:left w:type="dxa" w:w="150"/>
              <w:bottom w:type="dxa" w:w="110"/>
              <w:right w:type="dxa" w:w="150"/>
            </w:tcMar>
          </w:tcPr>
          <w:p>
            <w:pPr>
              <w:spacing w:after="0" w:line="264"/>
            </w:pPr>
            <w:r>
              <w:rPr>
                <w:rFonts w:ascii="Aptos" w:cs="Aptos" w:eastAsia="Aptos" w:hAnsi="Aptos"/>
                <w:b/>
                <w:bCs/>
                <w:color w:val="0E9A8D"/>
                <w:spacing w:val="24"/>
                <w:sz w:val="18"/>
                <w:szCs w:val="18"/>
              </w:rPr>
              <w:t xml:space="preserve">QUESTIONS</w:t>
            </w:r>
            <w:r>
              <w:rPr>
                <w:rFonts w:ascii="Aptos" w:cs="Aptos" w:eastAsia="Aptos" w:hAnsi="Aptos"/>
                <w:color w:val="8A94A3"/>
                <w:sz w:val="15"/>
                <w:szCs w:val="15"/>
              </w:rPr>
              <w:t xml:space="preserve">   9 ch</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H2</w:t>
            </w:r>
          </w:p>
        </w:tc>
        <w:tc>
          <w:tcPr>
            <w:tcW w:type="dxa" w:w="7076"/>
            <w:tcMar>
              <w:top w:type="dxa" w:w="110"/>
              <w:left w:type="dxa" w:w="150"/>
              <w:bottom w:type="dxa" w:w="110"/>
              <w:right w:type="dxa" w:w="150"/>
            </w:tcMar>
          </w:tcPr>
          <w:p>
            <w:pPr>
              <w:spacing w:after="0" w:line="264"/>
            </w:pPr>
            <w:r>
              <w:rPr>
                <w:rFonts w:ascii="Aptos" w:cs="Aptos" w:eastAsia="Aptos" w:hAnsi="Aptos"/>
                <w:b/>
                <w:bCs/>
                <w:color w:val="0A1B3D"/>
                <w:sz w:val="23"/>
                <w:szCs w:val="23"/>
              </w:rPr>
              <w:t xml:space="preserve">What licensees usually ask first</w:t>
            </w:r>
            <w:r>
              <w:rPr>
                <w:rFonts w:ascii="Aptos" w:cs="Aptos" w:eastAsia="Aptos" w:hAnsi="Aptos"/>
                <w:color w:val="8A94A3"/>
                <w:sz w:val="15"/>
                <w:szCs w:val="15"/>
              </w:rPr>
              <w:t xml:space="preserve">   32 ch</w:t>
            </w:r>
          </w:p>
        </w:tc>
      </w:tr>
    </w:tbl>
    <w:p>
      <w:pPr>
        <w:spacing w:after="120"/>
      </w:pPr>
      <w:r>
        <w:rPr>
          <w:rFonts w:ascii="Aptos" w:cs="Aptos" w:eastAsia="Aptos" w:hAnsi="Aptos"/>
          <w:sz w:val="21"/>
          <w:szCs w:val="21"/>
        </w:rPr>
        <w:t xml:space="preserve"/>
      </w:r>
    </w:p>
    <w:p>
      <w:pPr>
        <w:spacing w:after="40" w:before="170"/>
      </w:pPr>
      <w:r>
        <w:rPr>
          <w:rFonts w:ascii="Aptos" w:cs="Aptos" w:eastAsia="Aptos" w:hAnsi="Aptos"/>
          <w:b/>
          <w:bCs/>
          <w:color w:val="0A1B3D"/>
          <w:sz w:val="21"/>
          <w:szCs w:val="21"/>
        </w:rPr>
        <w:t xml:space="preserve">Who has to comply with NEPRA’s IT/OT security regulations?</w:t>
      </w:r>
    </w:p>
    <w:p>
      <w:pPr>
        <w:spacing w:after="30"/>
      </w:pPr>
      <w:r>
        <w:rPr>
          <w:rFonts w:ascii="Aptos" w:cs="Aptos" w:eastAsia="Aptos" w:hAnsi="Aptos"/>
          <w:sz w:val="20"/>
          <w:szCs w:val="20"/>
        </w:rPr>
        <w:t xml:space="preserve">Every NEPRA licensee in Pakistan’s power sector — generation, transmission and distribution companies. The obligations cover both corporate IT and operational technology, including SCADA, DCS, PLCs and RTUs.</w:t>
      </w:r>
    </w:p>
    <w:p>
      <w:pPr>
        <w:spacing w:after="0"/>
      </w:pPr>
      <w:r>
        <w:rPr>
          <w:rFonts w:ascii="Aptos" w:cs="Aptos" w:eastAsia="Aptos" w:hAnsi="Aptos"/>
          <w:color w:val="8A94A3"/>
          <w:sz w:val="15"/>
          <w:szCs w:val="15"/>
        </w:rPr>
        <w:t xml:space="preserve">207 ch</w:t>
      </w:r>
    </w:p>
    <w:p>
      <w:pPr>
        <w:spacing w:after="40" w:before="170"/>
      </w:pPr>
      <w:r>
        <w:rPr>
          <w:rFonts w:ascii="Aptos" w:cs="Aptos" w:eastAsia="Aptos" w:hAnsi="Aptos"/>
          <w:b/>
          <w:bCs/>
          <w:color w:val="0A1B3D"/>
          <w:sz w:val="21"/>
          <w:szCs w:val="21"/>
        </w:rPr>
        <w:t xml:space="preserve">What are the NEPRA IT/OT regulations?</w:t>
      </w:r>
    </w:p>
    <w:p>
      <w:pPr>
        <w:spacing w:after="30"/>
      </w:pPr>
      <w:r>
        <w:rPr>
          <w:rFonts w:ascii="Aptos" w:cs="Aptos" w:eastAsia="Aptos" w:hAnsi="Aptos"/>
          <w:sz w:val="20"/>
          <w:szCs w:val="20"/>
        </w:rPr>
        <w:t xml:space="preserve">The Security of Information Technology &amp; Operational Technology Regulations, 2022 set the mandatory cybersecurity framework for NEPRA licensees. They span governance and policy, security controls, risk and vulnerability assessment, data integrity, audit support, monitoring and incident response, training, and regulatory reporting.</w:t>
      </w:r>
    </w:p>
    <w:p>
      <w:pPr>
        <w:spacing w:after="0"/>
      </w:pPr>
      <w:r>
        <w:rPr>
          <w:rFonts w:ascii="Aptos" w:cs="Aptos" w:eastAsia="Aptos" w:hAnsi="Aptos"/>
          <w:color w:val="8A94A3"/>
          <w:sz w:val="15"/>
          <w:szCs w:val="15"/>
        </w:rPr>
        <w:t xml:space="preserve">332 ch</w:t>
      </w:r>
    </w:p>
    <w:p>
      <w:pPr>
        <w:spacing w:after="40" w:before="170"/>
      </w:pPr>
      <w:r>
        <w:rPr>
          <w:rFonts w:ascii="Aptos" w:cs="Aptos" w:eastAsia="Aptos" w:hAnsi="Aptos"/>
          <w:b/>
          <w:bCs/>
          <w:color w:val="0A1B3D"/>
          <w:sz w:val="21"/>
          <w:szCs w:val="21"/>
        </w:rPr>
        <w:t xml:space="preserve">How quickly must a cyber incident be reported to NEPRA?</w:t>
      </w:r>
    </w:p>
    <w:p>
      <w:pPr>
        <w:spacing w:after="30"/>
      </w:pPr>
      <w:r>
        <w:rPr>
          <w:rFonts w:ascii="Aptos" w:cs="Aptos" w:eastAsia="Aptos" w:hAnsi="Aptos"/>
          <w:sz w:val="20"/>
          <w:szCs w:val="20"/>
        </w:rPr>
        <w:t xml:space="preserve">Significant incidents must be reported within 72 hours, in addition to quarterly cybersecurity incident reporting to the Authority. Incidents affecting OT are also reported to the National CERT and PowerCERT.</w:t>
      </w:r>
    </w:p>
    <w:p>
      <w:pPr>
        <w:spacing w:after="0"/>
      </w:pPr>
      <w:r>
        <w:rPr>
          <w:rFonts w:ascii="Aptos" w:cs="Aptos" w:eastAsia="Aptos" w:hAnsi="Aptos"/>
          <w:color w:val="8A94A3"/>
          <w:sz w:val="15"/>
          <w:szCs w:val="15"/>
        </w:rPr>
        <w:t xml:space="preserve">208 ch</w:t>
      </w:r>
    </w:p>
    <w:p>
      <w:pPr>
        <w:spacing w:after="40" w:before="170"/>
      </w:pPr>
      <w:r>
        <w:rPr>
          <w:rFonts w:ascii="Aptos" w:cs="Aptos" w:eastAsia="Aptos" w:hAnsi="Aptos"/>
          <w:b/>
          <w:bCs/>
          <w:color w:val="0A1B3D"/>
          <w:sz w:val="21"/>
          <w:szCs w:val="21"/>
        </w:rPr>
        <w:t xml:space="preserve">Will a compliance audit disrupt plant or SCADA operations?</w:t>
      </w:r>
    </w:p>
    <w:p>
      <w:pPr>
        <w:spacing w:after="30"/>
      </w:pPr>
      <w:r>
        <w:rPr>
          <w:rFonts w:ascii="Aptos" w:cs="Aptos" w:eastAsia="Aptos" w:hAnsi="Aptos"/>
          <w:sz w:val="20"/>
          <w:szCs w:val="20"/>
        </w:rPr>
        <w:t xml:space="preserve">It should not. A properly scoped NEPRA audit assesses OT passively — reviewing configurations, segmentation, access and logs rather than actively scanning live control systems. No plant downtime is required.</w:t>
      </w:r>
    </w:p>
    <w:p>
      <w:pPr>
        <w:spacing w:after="0"/>
      </w:pPr>
      <w:r>
        <w:rPr>
          <w:rFonts w:ascii="Aptos" w:cs="Aptos" w:eastAsia="Aptos" w:hAnsi="Aptos"/>
          <w:color w:val="8A94A3"/>
          <w:sz w:val="15"/>
          <w:szCs w:val="15"/>
        </w:rPr>
        <w:t xml:space="preserve">207 ch</w:t>
      </w:r>
    </w:p>
    <w:p>
      <w:pPr>
        <w:spacing w:after="40" w:before="170"/>
      </w:pPr>
      <w:r>
        <w:rPr>
          <w:rFonts w:ascii="Aptos" w:cs="Aptos" w:eastAsia="Aptos" w:hAnsi="Aptos"/>
          <w:b/>
          <w:bCs/>
          <w:color w:val="0A1B3D"/>
          <w:sz w:val="21"/>
          <w:szCs w:val="21"/>
        </w:rPr>
        <w:t xml:space="preserve">How long does a NEPRA IT/OT compliance audit take?</w:t>
      </w:r>
    </w:p>
    <w:p>
      <w:pPr>
        <w:spacing w:after="30"/>
      </w:pPr>
      <w:r>
        <w:rPr>
          <w:rFonts w:ascii="Aptos" w:cs="Aptos" w:eastAsia="Aptos" w:hAnsi="Aptos"/>
          <w:sz w:val="20"/>
          <w:szCs w:val="20"/>
        </w:rPr>
        <w:t xml:space="preserve">For a single-site licensee, roughly three weeks of engagement across scoping, fieldwork, gap analysis and reporting. Multi-site licensees take longer in proportion to the number of plants and the size of the OT estate.</w:t>
      </w:r>
    </w:p>
    <w:p>
      <w:pPr>
        <w:spacing w:after="0"/>
      </w:pPr>
      <w:r>
        <w:rPr>
          <w:rFonts w:ascii="Aptos" w:cs="Aptos" w:eastAsia="Aptos" w:hAnsi="Aptos"/>
          <w:color w:val="8A94A3"/>
          <w:sz w:val="15"/>
          <w:szCs w:val="15"/>
        </w:rPr>
        <w:t xml:space="preserve">218 ch</w:t>
      </w:r>
    </w:p>
    <w:p>
      <w:pPr>
        <w:spacing w:after="40" w:before="170"/>
      </w:pPr>
      <w:r>
        <w:rPr>
          <w:rFonts w:ascii="Aptos" w:cs="Aptos" w:eastAsia="Aptos" w:hAnsi="Aptos"/>
          <w:b/>
          <w:bCs/>
          <w:color w:val="0A1B3D"/>
          <w:sz w:val="21"/>
          <w:szCs w:val="21"/>
        </w:rPr>
        <w:t xml:space="preserve">What happens if NEPRA directs a technical audit?</w:t>
      </w:r>
    </w:p>
    <w:p>
      <w:pPr>
        <w:spacing w:after="30"/>
      </w:pPr>
      <w:r>
        <w:rPr>
          <w:rFonts w:ascii="Aptos" w:cs="Aptos" w:eastAsia="Aptos" w:hAnsi="Aptos"/>
          <w:sz w:val="20"/>
          <w:szCs w:val="20"/>
        </w:rPr>
        <w:t xml:space="preserve">Regulation 8 requires licensees to support an Authority-directed technical audit and produce evidence. In practice that means having an organised evidence file — policies, asset inventory, access records, patch and backup logs, incident records — ready before you are asked.</w:t>
      </w:r>
    </w:p>
    <w:p>
      <w:pPr>
        <w:spacing w:after="0"/>
      </w:pPr>
      <w:r>
        <w:rPr>
          <w:rFonts w:ascii="Aptos" w:cs="Aptos" w:eastAsia="Aptos" w:hAnsi="Aptos"/>
          <w:color w:val="8A94A3"/>
          <w:sz w:val="15"/>
          <w:szCs w:val="15"/>
        </w:rPr>
        <w:t xml:space="preserve">274 ch</w:t>
      </w:r>
    </w:p>
    <w:p>
      <w:pPr>
        <w:spacing w:after="140"/>
      </w:pPr>
      <w:r>
        <w:rPr>
          <w:rFonts w:ascii="Aptos" w:cs="Aptos" w:eastAsia="Aptos" w:hAnsi="Aptos"/>
          <w:sz w:val="21"/>
          <w:szCs w:val="21"/>
        </w:rPr>
        <w:t xml:space="preserve"/>
      </w:r>
    </w:p>
    <w:tbl>
      <w:tblPr>
        <w:tblW w:type="dxa" w:w="9026"/>
        <w:tblBorders>
          <w:top w:val="single" w:color="FFF4E5" w:sz="2"/>
          <w:left w:val="single" w:color="F59E0B" w:sz="16"/>
          <w:bottom w:val="single" w:color="FFF4E5" w:sz="2"/>
          <w:right w:val="single" w:color="FFF4E5" w:sz="2"/>
          <w:insideH w:val="none" w:color="FFF4E5" w:sz="0"/>
          <w:insideV w:val="none" w:color="FFF4E5" w:sz="0"/>
        </w:tblBorders>
      </w:tblPr>
      <w:tblGrid>
        <w:gridCol w:w="9026"/>
      </w:tblGrid>
      <w:tr>
        <w:tc>
          <w:tcPr>
            <w:tcW w:type="dxa" w:w="9026"/>
            <w:shd w:fill="FFF4E5" w:color="auto" w:val="clear"/>
            <w:tcMar>
              <w:top w:type="dxa" w:w="150"/>
              <w:left w:type="dxa" w:w="210"/>
              <w:bottom w:type="dxa" w:w="150"/>
              <w:right w:type="dxa" w:w="210"/>
            </w:tcMar>
          </w:tcPr>
          <w:p>
            <w:r>
              <w:rPr>
                <w:rFonts w:ascii="Aptos" w:cs="Aptos" w:eastAsia="Aptos" w:hAnsi="Aptos"/>
                <w:b/>
                <w:bCs/>
                <w:color w:val="B45309"/>
                <w:sz w:val="16"/>
                <w:szCs w:val="16"/>
              </w:rPr>
              <w:t xml:space="preserve">DESIGN NOTE  </w:t>
            </w:r>
            <w:r>
              <w:rPr>
                <w:rFonts w:ascii="Aptos" w:cs="Aptos" w:eastAsia="Aptos" w:hAnsi="Aptos"/>
                <w:sz w:val="20"/>
                <w:szCs w:val="20"/>
              </w:rPr>
              <w:t xml:space="preserve">Accordions are fine visually, but every answer must be present in the page source, not fetched on click. An answer that only exists after a JavaScript expand is an answer no search engine and no AI agent will ever read — which defeats the point of this block. Mark the block up as FAQPage structured data.</w:t>
            </w:r>
          </w:p>
        </w:tc>
      </w:tr>
    </w:tbl>
    <w:tbl>
      <w:tblPr>
        <w:tblW w:type="dxa" w:w="9026"/>
        <w:tblBorders>
          <w:top w:val="single" w:color="FFF4E5" w:sz="2"/>
          <w:left w:val="single" w:color="F59E0B" w:sz="16"/>
          <w:bottom w:val="single" w:color="FFF4E5" w:sz="2"/>
          <w:right w:val="single" w:color="FFF4E5" w:sz="2"/>
          <w:insideH w:val="none" w:color="FFF4E5" w:sz="0"/>
          <w:insideV w:val="none" w:color="FFF4E5" w:sz="0"/>
        </w:tblBorders>
      </w:tblPr>
      <w:tblGrid>
        <w:gridCol w:w="9026"/>
      </w:tblGrid>
      <w:tr>
        <w:tc>
          <w:tcPr>
            <w:tcW w:type="dxa" w:w="9026"/>
            <w:shd w:fill="FFF4E5" w:color="auto" w:val="clear"/>
            <w:tcMar>
              <w:top w:type="dxa" w:w="150"/>
              <w:left w:type="dxa" w:w="210"/>
              <w:bottom w:type="dxa" w:w="150"/>
              <w:right w:type="dxa" w:w="210"/>
            </w:tcMar>
          </w:tcPr>
          <w:p>
            <w:r>
              <w:rPr>
                <w:rFonts w:ascii="Aptos" w:cs="Aptos" w:eastAsia="Aptos" w:hAnsi="Aptos"/>
                <w:b/>
                <w:bCs/>
                <w:color w:val="B45309"/>
                <w:sz w:val="16"/>
                <w:szCs w:val="16"/>
              </w:rPr>
              <w:t xml:space="preserve">DESIGN NOTE  </w:t>
            </w:r>
            <w:r>
              <w:rPr>
                <w:rFonts w:ascii="Aptos" w:cs="Aptos" w:eastAsia="Aptos" w:hAnsi="Aptos"/>
                <w:sz w:val="20"/>
                <w:szCs w:val="20"/>
              </w:rPr>
              <w:t xml:space="preserve">Two answers are pending confirmation: the 72-hour deadline, and whether to publish an audit duration at all (it sets an expectation we will be held to). Lay them out, but expect the copy to move.</w:t>
            </w:r>
          </w:p>
        </w:tc>
      </w:tr>
    </w:tbl>
    <w:p>
      <w:pPr>
        <w:pBdr>
          <w:top w:val="single" w:color="1F6FEB" w:sz="12"/>
        </w:pBdr>
        <w:spacing w:after="40" w:before="420"/>
      </w:pPr>
      <w:r>
        <w:rPr>
          <w:rFonts w:ascii="Aptos" w:cs="Aptos" w:eastAsia="Aptos" w:hAnsi="Aptos"/>
          <w:sz w:val="21"/>
          <w:szCs w:val="21"/>
        </w:rPr>
        <w:t xml:space="preserve"/>
      </w:r>
    </w:p>
    <w:p>
      <w:pPr>
        <w:spacing w:after="40"/>
      </w:pPr>
      <w:r>
        <w:rPr>
          <w:rFonts w:ascii="Aptos" w:cs="Aptos" w:eastAsia="Aptos" w:hAnsi="Aptos"/>
          <w:b/>
          <w:bCs/>
          <w:color w:val="1F6FEB"/>
          <w:spacing w:val="30"/>
          <w:sz w:val="17"/>
          <w:szCs w:val="17"/>
        </w:rPr>
        <w:t xml:space="preserve">BLOCK 09</w:t>
      </w:r>
    </w:p>
    <w:p>
      <w:pPr>
        <w:pStyle w:val="Heading2"/>
        <w:spacing w:after="60"/>
      </w:pPr>
      <w:r>
        <w:rPr>
          <w:rFonts w:ascii="Aptos" w:cs="Aptos" w:eastAsia="Aptos" w:hAnsi="Aptos"/>
          <w:b/>
          <w:bCs/>
          <w:color w:val="0A1B3D"/>
          <w:sz w:val="27"/>
          <w:szCs w:val="27"/>
        </w:rPr>
        <w:t xml:space="preserve">Closing CTA</w:t>
      </w:r>
    </w:p>
    <w:p>
      <w:pPr>
        <w:spacing w:after="140"/>
      </w:pPr>
      <w:r>
        <w:rPr>
          <w:rFonts w:ascii="Aptos" w:cs="Aptos" w:eastAsia="Aptos" w:hAnsi="Aptos"/>
          <w:color w:val="5A6472"/>
          <w:sz w:val="20"/>
          <w:szCs w:val="20"/>
        </w:rPr>
        <w:t xml:space="preserve">The page’s conclusion. Uses the flyer’s own tagline and sign-off so the page and the letter close the same way.</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1950"/>
        <w:gridCol w:w="7076"/>
      </w:tblGrid>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H2</w:t>
            </w:r>
          </w:p>
        </w:tc>
        <w:tc>
          <w:tcPr>
            <w:tcW w:type="dxa" w:w="7076"/>
            <w:tcMar>
              <w:top w:type="dxa" w:w="110"/>
              <w:left w:type="dxa" w:w="150"/>
              <w:bottom w:type="dxa" w:w="110"/>
              <w:right w:type="dxa" w:w="150"/>
            </w:tcMar>
          </w:tcPr>
          <w:p>
            <w:pPr>
              <w:spacing w:after="0" w:line="264"/>
            </w:pPr>
            <w:r>
              <w:rPr>
                <w:rFonts w:ascii="Aptos" w:cs="Aptos" w:eastAsia="Aptos" w:hAnsi="Aptos"/>
                <w:b/>
                <w:bCs/>
                <w:color w:val="0A1B3D"/>
                <w:sz w:val="23"/>
                <w:szCs w:val="23"/>
              </w:rPr>
              <w:t xml:space="preserve">Secure your assets. Protect the grid.</w:t>
            </w:r>
            <w:r>
              <w:rPr>
                <w:rFonts w:ascii="Aptos" w:cs="Aptos" w:eastAsia="Aptos" w:hAnsi="Aptos"/>
                <w:color w:val="8A94A3"/>
                <w:sz w:val="15"/>
                <w:szCs w:val="15"/>
              </w:rPr>
              <w:t xml:space="preserve">   37 ch</w:t>
            </w:r>
          </w:p>
          <w:p>
            <w:pPr>
              <w:spacing w:after="0" w:before="60"/>
            </w:pPr>
            <w:r>
              <w:rPr>
                <w:rFonts w:ascii="Aptos" w:cs="Aptos" w:eastAsia="Aptos" w:hAnsi="Aptos"/>
                <w:i/>
                <w:iCs/>
                <w:color w:val="5A6472"/>
                <w:sz w:val="17"/>
                <w:szCs w:val="17"/>
              </w:rPr>
              <w:t xml:space="preserve">Verbatim from the printed flyer.</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BODY</w:t>
            </w:r>
          </w:p>
        </w:tc>
        <w:tc>
          <w:tcPr>
            <w:tcW w:type="dxa" w:w="7076"/>
            <w:tcMar>
              <w:top w:type="dxa" w:w="110"/>
              <w:left w:type="dxa" w:w="150"/>
              <w:bottom w:type="dxa" w:w="110"/>
              <w:right w:type="dxa" w:w="150"/>
            </w:tcMar>
          </w:tcPr>
          <w:p>
            <w:pPr>
              <w:spacing w:after="0" w:line="264"/>
            </w:pPr>
            <w:r>
              <w:rPr>
                <w:rFonts w:ascii="Aptos" w:cs="Aptos" w:eastAsia="Aptos" w:hAnsi="Aptos"/>
                <w:sz w:val="20"/>
                <w:szCs w:val="20"/>
              </w:rPr>
              <w:t xml:space="preserve">Tell us your licence type and how many sites you run, and we will scope the audit. A first call takes about thirty minutes and costs nothing.</w:t>
            </w:r>
            <w:r>
              <w:rPr>
                <w:rFonts w:ascii="Aptos" w:cs="Aptos" w:eastAsia="Aptos" w:hAnsi="Aptos"/>
                <w:color w:val="8A94A3"/>
                <w:sz w:val="15"/>
                <w:szCs w:val="15"/>
              </w:rPr>
              <w:t xml:space="preserve">   141 ch</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BUTTON 1</w:t>
            </w:r>
          </w:p>
        </w:tc>
        <w:tc>
          <w:tcPr>
            <w:tcW w:type="dxa" w:w="7076"/>
            <w:tcMar>
              <w:top w:type="dxa" w:w="110"/>
              <w:left w:type="dxa" w:w="150"/>
              <w:bottom w:type="dxa" w:w="110"/>
              <w:right w:type="dxa" w:w="150"/>
            </w:tcMar>
          </w:tcPr>
          <w:p>
            <w:pPr>
              <w:spacing w:after="0" w:line="264"/>
            </w:pPr>
            <w:r>
              <w:rPr>
                <w:rFonts w:ascii="Aptos" w:cs="Aptos" w:eastAsia="Aptos" w:hAnsi="Aptos"/>
                <w:b/>
                <w:bCs/>
                <w:color w:val="1F6FEB"/>
                <w:sz w:val="20"/>
                <w:szCs w:val="20"/>
              </w:rPr>
              <w:t xml:space="preserve">[ Call +92 21 3586 9200 ]</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BUTTON 2</w:t>
            </w:r>
          </w:p>
        </w:tc>
        <w:tc>
          <w:tcPr>
            <w:tcW w:type="dxa" w:w="7076"/>
            <w:tcMar>
              <w:top w:type="dxa" w:w="110"/>
              <w:left w:type="dxa" w:w="150"/>
              <w:bottom w:type="dxa" w:w="110"/>
              <w:right w:type="dxa" w:w="150"/>
            </w:tcMar>
          </w:tcPr>
          <w:p>
            <w:pPr>
              <w:spacing w:after="0" w:line="264"/>
            </w:pPr>
            <w:r>
              <w:rPr>
                <w:rFonts w:ascii="Aptos" w:cs="Aptos" w:eastAsia="Aptos" w:hAnsi="Aptos"/>
                <w:b/>
                <w:bCs/>
                <w:color w:val="1F6FEB"/>
                <w:sz w:val="20"/>
                <w:szCs w:val="20"/>
              </w:rPr>
              <w:t xml:space="preserve">[ Email xsecurity@xloopdigital.com ]</w:t>
            </w:r>
          </w:p>
        </w:tc>
      </w:tr>
      <w:tr>
        <w:tc>
          <w:tcPr>
            <w:tcW w:type="dxa" w:w="1950"/>
            <w:shd w:fill="F7F9FC" w:color="auto" w:val="clear"/>
            <w:tcMar>
              <w:top w:type="dxa" w:w="110"/>
              <w:left w:type="dxa" w:w="140"/>
              <w:bottom w:type="dxa" w:w="110"/>
              <w:right w:type="dxa" w:w="140"/>
            </w:tcMar>
          </w:tcPr>
          <w:p>
            <w:pPr>
              <w:spacing w:after="0"/>
            </w:pPr>
            <w:r>
              <w:rPr>
                <w:rFonts w:ascii="Aptos" w:cs="Aptos" w:eastAsia="Aptos" w:hAnsi="Aptos"/>
                <w:b/>
                <w:bCs/>
                <w:color w:val="5A6472"/>
                <w:spacing w:val="20"/>
                <w:sz w:val="16"/>
                <w:szCs w:val="16"/>
              </w:rPr>
              <w:t xml:space="preserve">SIGN-OFF</w:t>
            </w:r>
          </w:p>
        </w:tc>
        <w:tc>
          <w:tcPr>
            <w:tcW w:type="dxa" w:w="7076"/>
            <w:tcMar>
              <w:top w:type="dxa" w:w="110"/>
              <w:left w:type="dxa" w:w="150"/>
              <w:bottom w:type="dxa" w:w="110"/>
              <w:right w:type="dxa" w:w="150"/>
            </w:tcMar>
          </w:tcPr>
          <w:p>
            <w:pPr>
              <w:spacing w:after="0" w:line="264"/>
            </w:pPr>
            <w:r>
              <w:rPr>
                <w:rFonts w:ascii="Aptos" w:cs="Aptos" w:eastAsia="Aptos" w:hAnsi="Aptos"/>
                <w:b/>
                <w:bCs/>
                <w:color w:val="0E9A8D"/>
                <w:spacing w:val="24"/>
                <w:sz w:val="18"/>
                <w:szCs w:val="18"/>
              </w:rPr>
              <w:t xml:space="preserve">Compliance. Security. Resilience.</w:t>
            </w:r>
          </w:p>
          <w:p>
            <w:pPr>
              <w:spacing w:after="0" w:before="60"/>
            </w:pPr>
            <w:r>
              <w:rPr>
                <w:rFonts w:ascii="Aptos" w:cs="Aptos" w:eastAsia="Aptos" w:hAnsi="Aptos"/>
                <w:i/>
                <w:iCs/>
                <w:color w:val="5A6472"/>
                <w:sz w:val="17"/>
                <w:szCs w:val="17"/>
              </w:rPr>
              <w:t xml:space="preserve">Verbatim from the flyer footer. Small, letterspaced, centred.</w:t>
            </w:r>
          </w:p>
        </w:tc>
      </w:tr>
    </w:tbl>
    <w:p>
      <w:pPr>
        <w:spacing w:after="120"/>
      </w:pPr>
      <w:r>
        <w:rPr>
          <w:rFonts w:ascii="Aptos" w:cs="Aptos" w:eastAsia="Aptos" w:hAnsi="Aptos"/>
          <w:sz w:val="21"/>
          <w:szCs w:val="21"/>
        </w:rPr>
        <w:t xml:space="preserve"/>
      </w:r>
    </w:p>
    <w:p>
      <w:pPr>
        <w:spacing w:after="120" w:line="276"/>
      </w:pPr>
      <w:r>
        <w:rPr>
          <w:rFonts w:ascii="Aptos" w:cs="Aptos" w:eastAsia="Aptos" w:hAnsi="Aptos"/>
          <w:sz w:val="21"/>
          <w:szCs w:val="21"/>
        </w:rPr>
        <w:t xml:space="preserve">Give this the heaviest visual treatment on the page — full-bleed dark panel or a bordered container in the AI Security band style. It should read as the end of the argument.</w:t>
      </w:r>
    </w:p>
    <w:p>
      <w:r>
        <w:br w:type="page"/>
      </w:r>
    </w:p>
    <w:p>
      <w:pPr>
        <w:pStyle w:val="Heading1"/>
        <w:spacing w:after="140" w:before="360"/>
      </w:pPr>
      <w:r>
        <w:rPr>
          <w:rFonts w:ascii="Aptos" w:cs="Aptos" w:eastAsia="Aptos" w:hAnsi="Aptos"/>
          <w:b/>
          <w:bCs/>
          <w:color w:val="0A1B3D"/>
          <w:sz w:val="32"/>
          <w:szCs w:val="32"/>
        </w:rPr>
        <w:t xml:space="preserve">Global build notes</w:t>
      </w:r>
    </w:p>
    <w:p>
      <w:pPr>
        <w:pStyle w:val="Heading2"/>
        <w:spacing w:after="110" w:before="280"/>
      </w:pPr>
      <w:r>
        <w:rPr>
          <w:rFonts w:ascii="Aptos" w:cs="Aptos" w:eastAsia="Aptos" w:hAnsi="Aptos"/>
          <w:b/>
          <w:bCs/>
          <w:color w:val="0A1B3D"/>
          <w:sz w:val="25"/>
          <w:szCs w:val="25"/>
        </w:rPr>
        <w:t xml:space="preserve">Contact links — exact behaviour</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1500"/>
        <w:gridCol w:w="3000"/>
        <w:gridCol w:w="4526"/>
      </w:tblGrid>
      <w:tr>
        <w:trPr>
          <w:tblHeader/>
        </w:trPr>
        <w:tc>
          <w:tcPr>
            <w:tcW w:type="dxa" w:w="15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Element</w:t>
            </w:r>
          </w:p>
        </w:tc>
        <w:tc>
          <w:tcPr>
            <w:tcW w:type="dxa" w:w="30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Displayed as</w:t>
            </w:r>
          </w:p>
        </w:tc>
        <w:tc>
          <w:tcPr>
            <w:tcW w:type="dxa" w:w="4526"/>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Link</w:t>
            </w:r>
          </w:p>
        </w:tc>
      </w:tr>
      <w:tr>
        <w:tc>
          <w:tcPr>
            <w:tcW w:type="dxa" w:w="15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Phone</w:t>
            </w:r>
          </w:p>
        </w:tc>
        <w:tc>
          <w:tcPr>
            <w:tcW w:type="dxa" w:w="30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+92 21 3586 9200</w:t>
            </w:r>
          </w:p>
        </w:tc>
        <w:tc>
          <w:tcPr>
            <w:tcW w:type="dxa" w:w="45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tel:+922135869200</w:t>
            </w:r>
          </w:p>
        </w:tc>
      </w:tr>
      <w:tr>
        <w:tc>
          <w:tcPr>
            <w:tcW w:type="dxa" w:w="15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Email</w:t>
            </w:r>
          </w:p>
        </w:tc>
        <w:tc>
          <w:tcPr>
            <w:tcW w:type="dxa" w:w="30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xsecurity@xloopdigital.com</w:t>
            </w:r>
          </w:p>
        </w:tc>
        <w:tc>
          <w:tcPr>
            <w:tcW w:type="dxa" w:w="45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mailto:xsecurity@xloopdigital.com?subject=NEPRA%20IT%2FOT%20Compliance%20enquiry</w:t>
            </w:r>
          </w:p>
        </w:tc>
      </w:tr>
    </w:tbl>
    <w:p>
      <w:pPr>
        <w:spacing w:after="120"/>
      </w:pPr>
      <w:r>
        <w:rPr>
          <w:rFonts w:ascii="Aptos" w:cs="Aptos" w:eastAsia="Aptos" w:hAnsi="Aptos"/>
          <w:sz w:val="21"/>
          <w:szCs w:val="21"/>
        </w:rPr>
        <w:t xml:space="preserve"/>
      </w:r>
    </w:p>
    <w:p>
      <w:pPr>
        <w:pStyle w:val="ListParagraph"/>
        <w:numPr>
          <w:ilvl w:val="0"/>
          <w:numId w:val="2"/>
        </w:numPr>
        <w:spacing w:after="60" w:line="276"/>
      </w:pPr>
      <w:r>
        <w:rPr>
          <w:rFonts w:ascii="Aptos" w:cs="Aptos" w:eastAsia="Aptos" w:hAnsi="Aptos"/>
          <w:sz w:val="21"/>
          <w:szCs w:val="21"/>
        </w:rPr>
        <w:t xml:space="preserve">The flyer prints (021) 35869200. Same number — the international form is used in the href so it dials correctly from a mobile roaming or abroad.</w:t>
      </w:r>
    </w:p>
    <w:p>
      <w:pPr>
        <w:pStyle w:val="ListParagraph"/>
        <w:numPr>
          <w:ilvl w:val="0"/>
          <w:numId w:val="2"/>
        </w:numPr>
        <w:spacing w:after="60" w:line="276"/>
      </w:pPr>
      <w:r>
        <w:rPr>
          <w:rFonts w:ascii="Aptos" w:cs="Aptos" w:eastAsia="Aptos" w:hAnsi="Aptos"/>
          <w:sz w:val="21"/>
          <w:szCs w:val="21"/>
        </w:rPr>
        <w:t xml:space="preserve">The pre-filled email subject is how campaign replies get separated from ordinary inbound. Do not drop it.</w:t>
      </w:r>
    </w:p>
    <w:p>
      <w:pPr>
        <w:pStyle w:val="ListParagraph"/>
        <w:numPr>
          <w:ilvl w:val="0"/>
          <w:numId w:val="2"/>
        </w:numPr>
        <w:spacing w:after="60" w:line="276"/>
      </w:pPr>
      <w:r>
        <w:rPr>
          <w:rFonts w:ascii="Aptos" w:cs="Aptos" w:eastAsia="Aptos" w:hAnsi="Aptos"/>
          <w:sz w:val="21"/>
          <w:szCs w:val="21"/>
        </w:rPr>
        <w:t xml:space="preserve">Both the number and the address must render as visible text, not only as link targets.</w:t>
      </w:r>
    </w:p>
    <w:p>
      <w:pPr>
        <w:pStyle w:val="Heading2"/>
        <w:spacing w:after="110" w:before="280"/>
      </w:pPr>
      <w:r>
        <w:rPr>
          <w:rFonts w:ascii="Aptos" w:cs="Aptos" w:eastAsia="Aptos" w:hAnsi="Aptos"/>
          <w:b/>
          <w:bCs/>
          <w:color w:val="0A1B3D"/>
          <w:sz w:val="25"/>
          <w:szCs w:val="25"/>
        </w:rPr>
        <w:t xml:space="preserve">Things that must not happen</w:t>
      </w:r>
    </w:p>
    <w:p>
      <w:pPr>
        <w:pStyle w:val="ListParagraph"/>
        <w:numPr>
          <w:ilvl w:val="0"/>
          <w:numId w:val="2"/>
        </w:numPr>
        <w:spacing w:after="60" w:line="276"/>
      </w:pPr>
      <w:r>
        <w:rPr>
          <w:rFonts w:ascii="Aptos" w:cs="Aptos" w:eastAsia="Aptos" w:hAnsi="Aptos"/>
          <w:b/>
          <w:bCs/>
          <w:sz w:val="21"/>
          <w:szCs w:val="21"/>
        </w:rPr>
        <w:t xml:space="preserve">No pop-up, modal or interstitial. </w:t>
      </w:r>
      <w:r>
        <w:rPr>
          <w:rFonts w:ascii="Aptos" w:cs="Aptos" w:eastAsia="Aptos" w:hAnsi="Aptos"/>
          <w:sz w:val="21"/>
          <w:szCs w:val="21"/>
        </w:rPr>
        <w:t xml:space="preserve">Google penalises intrusive interstitials on mobile, and an overlay is invisible to an AI agent reading the page.</w:t>
      </w:r>
    </w:p>
    <w:p>
      <w:pPr>
        <w:pStyle w:val="ListParagraph"/>
        <w:numPr>
          <w:ilvl w:val="0"/>
          <w:numId w:val="2"/>
        </w:numPr>
        <w:spacing w:after="60" w:line="276"/>
      </w:pPr>
      <w:r>
        <w:rPr>
          <w:rFonts w:ascii="Aptos" w:cs="Aptos" w:eastAsia="Aptos" w:hAnsi="Aptos"/>
          <w:b/>
          <w:bCs/>
          <w:sz w:val="21"/>
          <w:szCs w:val="21"/>
        </w:rPr>
        <w:t xml:space="preserve">No gated PDF. </w:t>
      </w:r>
      <w:r>
        <w:rPr>
          <w:rFonts w:ascii="Aptos" w:cs="Aptos" w:eastAsia="Aptos" w:hAnsi="Aptos"/>
          <w:sz w:val="21"/>
          <w:szCs w:val="21"/>
        </w:rPr>
        <w:t xml:space="preserve">If the compliance bundle needs a document, the content goes on the page and the PDF is a bonus.</w:t>
      </w:r>
    </w:p>
    <w:p>
      <w:pPr>
        <w:pStyle w:val="ListParagraph"/>
        <w:numPr>
          <w:ilvl w:val="0"/>
          <w:numId w:val="2"/>
        </w:numPr>
        <w:spacing w:after="60" w:line="276"/>
      </w:pPr>
      <w:r>
        <w:rPr>
          <w:rFonts w:ascii="Aptos" w:cs="Aptos" w:eastAsia="Aptos" w:hAnsi="Aptos"/>
          <w:b/>
          <w:bCs/>
          <w:sz w:val="21"/>
          <w:szCs w:val="21"/>
        </w:rPr>
        <w:t xml:space="preserve">The flyer image is not page content. </w:t>
      </w:r>
      <w:r>
        <w:rPr>
          <w:rFonts w:ascii="Aptos" w:cs="Aptos" w:eastAsia="Aptos" w:hAnsi="Aptos"/>
          <w:sz w:val="21"/>
          <w:szCs w:val="21"/>
        </w:rPr>
        <w:t xml:space="preserve">It may appear as a small download or a share asset. It must never carry information that exists nowhere else in text.</w:t>
      </w:r>
    </w:p>
    <w:p>
      <w:pPr>
        <w:pStyle w:val="ListParagraph"/>
        <w:numPr>
          <w:ilvl w:val="0"/>
          <w:numId w:val="2"/>
        </w:numPr>
        <w:spacing w:after="60" w:line="276"/>
      </w:pPr>
      <w:r>
        <w:rPr>
          <w:rFonts w:ascii="Aptos" w:cs="Aptos" w:eastAsia="Aptos" w:hAnsi="Aptos"/>
          <w:b/>
          <w:bCs/>
          <w:sz w:val="21"/>
          <w:szCs w:val="21"/>
        </w:rPr>
        <w:t xml:space="preserve">One H1. </w:t>
      </w:r>
      <w:r>
        <w:rPr>
          <w:rFonts w:ascii="Aptos" w:cs="Aptos" w:eastAsia="Aptos" w:hAnsi="Aptos"/>
          <w:sz w:val="21"/>
          <w:szCs w:val="21"/>
        </w:rPr>
        <w:t xml:space="preserve">Block 01 only. Every other block heading is an H2.</w:t>
      </w:r>
    </w:p>
    <w:p>
      <w:pPr>
        <w:pStyle w:val="ListParagraph"/>
        <w:numPr>
          <w:ilvl w:val="0"/>
          <w:numId w:val="2"/>
        </w:numPr>
        <w:spacing w:after="60" w:line="276"/>
      </w:pPr>
      <w:r>
        <w:rPr>
          <w:rFonts w:ascii="Aptos" w:cs="Aptos" w:eastAsia="Aptos" w:hAnsi="Aptos"/>
          <w:b/>
          <w:bCs/>
          <w:sz w:val="21"/>
          <w:szCs w:val="21"/>
        </w:rPr>
        <w:t xml:space="preserve">Nothing important loaded by JavaScript after paint. </w:t>
      </w:r>
      <w:r>
        <w:rPr>
          <w:rFonts w:ascii="Aptos" w:cs="Aptos" w:eastAsia="Aptos" w:hAnsi="Aptos"/>
          <w:sz w:val="21"/>
          <w:szCs w:val="21"/>
        </w:rPr>
        <w:t xml:space="preserve">Applies to the coverage table and the FAQ answers in particular.</w:t>
      </w:r>
    </w:p>
    <w:p>
      <w:pPr>
        <w:pStyle w:val="Heading2"/>
        <w:spacing w:after="110" w:before="280"/>
      </w:pPr>
      <w:r>
        <w:rPr>
          <w:rFonts w:ascii="Aptos" w:cs="Aptos" w:eastAsia="Aptos" w:hAnsi="Aptos"/>
          <w:b/>
          <w:bCs/>
          <w:color w:val="0A1B3D"/>
          <w:sz w:val="25"/>
          <w:szCs w:val="25"/>
        </w:rPr>
        <w:t xml:space="preserve">Assets to produce</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2100"/>
        <w:gridCol w:w="2400"/>
        <w:gridCol w:w="4526"/>
      </w:tblGrid>
      <w:tr>
        <w:trPr>
          <w:tblHeader/>
        </w:trPr>
        <w:tc>
          <w:tcPr>
            <w:tcW w:type="dxa" w:w="21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Asset</w:t>
            </w:r>
          </w:p>
        </w:tc>
        <w:tc>
          <w:tcPr>
            <w:tcW w:type="dxa" w:w="24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Spec</w:t>
            </w:r>
          </w:p>
        </w:tc>
        <w:tc>
          <w:tcPr>
            <w:tcW w:type="dxa" w:w="4526"/>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Notes</w:t>
            </w:r>
          </w:p>
        </w:tc>
      </w:tr>
      <w:tr>
        <w:tc>
          <w:tcPr>
            <w:tcW w:type="dxa" w:w="21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Hero visual</w:t>
            </w:r>
          </w:p>
        </w:tc>
        <w:tc>
          <w:tcPr>
            <w:tcW w:type="dxa" w:w="24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Landscape, retina</w:t>
            </w:r>
          </w:p>
        </w:tc>
        <w:tc>
          <w:tcPr>
            <w:tcW w:type="dxa" w:w="45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Transmission infrastructure, substation or control room. Not abstract padlock/circuit imagery.</w:t>
            </w:r>
          </w:p>
        </w:tc>
      </w:tr>
      <w:tr>
        <w:tc>
          <w:tcPr>
            <w:tcW w:type="dxa" w:w="21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Four service icons</w:t>
            </w:r>
          </w:p>
        </w:tc>
        <w:tc>
          <w:tcPr>
            <w:tcW w:type="dxa" w:w="24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34px rounded square, 1px blue border</w:t>
            </w:r>
          </w:p>
        </w:tc>
        <w:tc>
          <w:tcPr>
            <w:tcW w:type="dxa" w:w="45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Match the existing capability-card icon style exactly.</w:t>
            </w:r>
          </w:p>
        </w:tc>
      </w:tr>
      <w:tr>
        <w:tc>
          <w:tcPr>
            <w:tcW w:type="dxa" w:w="21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OG / social image</w:t>
            </w:r>
          </w:p>
        </w:tc>
        <w:tc>
          <w:tcPr>
            <w:tcW w:type="dxa" w:w="24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1200 × 630</w:t>
            </w:r>
          </w:p>
        </w:tc>
        <w:tc>
          <w:tcPr>
            <w:tcW w:type="dxa" w:w="45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Purpose-built. The flyer is portrait and will crop badly in every share preview.</w:t>
            </w:r>
          </w:p>
        </w:tc>
      </w:tr>
      <w:tr>
        <w:tc>
          <w:tcPr>
            <w:tcW w:type="dxa" w:w="21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Favicon / touch icon</w:t>
            </w:r>
          </w:p>
        </w:tc>
        <w:tc>
          <w:tcPr>
            <w:tcW w:type="dxa" w:w="24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Existing site assets</w:t>
            </w:r>
          </w:p>
        </w:tc>
        <w:tc>
          <w:tcPr>
            <w:tcW w:type="dxa" w:w="45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No change needed.</w:t>
            </w:r>
          </w:p>
        </w:tc>
      </w:tr>
    </w:tbl>
    <w:p>
      <w:pPr>
        <w:spacing w:after="140"/>
      </w:pPr>
      <w:r>
        <w:rPr>
          <w:rFonts w:ascii="Aptos" w:cs="Aptos" w:eastAsia="Aptos" w:hAnsi="Aptos"/>
          <w:sz w:val="21"/>
          <w:szCs w:val="21"/>
        </w:rPr>
        <w:t xml:space="preserve"/>
      </w:r>
    </w:p>
    <w:p>
      <w:pPr>
        <w:pStyle w:val="Heading2"/>
        <w:spacing w:after="110" w:before="280"/>
      </w:pPr>
      <w:r>
        <w:rPr>
          <w:rFonts w:ascii="Aptos" w:cs="Aptos" w:eastAsia="Aptos" w:hAnsi="Aptos"/>
          <w:b/>
          <w:bCs/>
          <w:color w:val="0A1B3D"/>
          <w:sz w:val="25"/>
          <w:szCs w:val="25"/>
        </w:rPr>
        <w:t xml:space="preserve">Still pending sign-off</w:t>
      </w:r>
    </w:p>
    <w:p>
      <w:pPr>
        <w:spacing w:after="120" w:line="276"/>
      </w:pPr>
      <w:r>
        <w:rPr>
          <w:rFonts w:ascii="Aptos" w:cs="Aptos" w:eastAsia="Aptos" w:hAnsi="Aptos"/>
          <w:sz w:val="21"/>
          <w:szCs w:val="21"/>
        </w:rPr>
        <w:t xml:space="preserve">Design can proceed on all of it. These five strings may change before launch.</w:t>
      </w:r>
    </w:p>
    <w:tbl>
      <w:tblPr>
        <w:tblW w:type="dxa" w:w="9026"/>
        <w:tblBorders>
          <w:top w:val="single" w:color="C9D3E0" w:sz="4"/>
          <w:left w:val="single" w:color="C9D3E0" w:sz="4"/>
          <w:bottom w:val="single" w:color="C9D3E0" w:sz="4"/>
          <w:right w:val="single" w:color="C9D3E0" w:sz="4"/>
          <w:insideH w:val="single" w:color="DCE3EC" w:sz="2"/>
          <w:insideV w:val="single" w:color="DCE3EC" w:sz="2"/>
        </w:tblBorders>
      </w:tblPr>
      <w:tblGrid>
        <w:gridCol w:w="600"/>
        <w:gridCol w:w="4200"/>
        <w:gridCol w:w="2200"/>
        <w:gridCol w:w="2026"/>
      </w:tblGrid>
      <w:tr>
        <w:trPr>
          <w:tblHeader/>
        </w:trPr>
        <w:tc>
          <w:tcPr>
            <w:tcW w:type="dxa" w:w="6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w:t>
            </w:r>
          </w:p>
        </w:tc>
        <w:tc>
          <w:tcPr>
            <w:tcW w:type="dxa" w:w="42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Item</w:t>
            </w:r>
          </w:p>
        </w:tc>
        <w:tc>
          <w:tcPr>
            <w:tcW w:type="dxa" w:w="2200"/>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Affects</w:t>
            </w:r>
          </w:p>
        </w:tc>
        <w:tc>
          <w:tcPr>
            <w:tcW w:type="dxa" w:w="2026"/>
            <w:shd w:fill="0A1B3D" w:color="auto" w:val="clear"/>
            <w:tcMar>
              <w:top w:type="dxa" w:w="100"/>
              <w:left w:type="dxa" w:w="140"/>
              <w:bottom w:type="dxa" w:w="100"/>
              <w:right w:type="dxa" w:w="140"/>
            </w:tcMar>
          </w:tcPr>
          <w:p>
            <w:pPr>
              <w:spacing w:after="0"/>
            </w:pPr>
            <w:r>
              <w:rPr>
                <w:rFonts w:ascii="Aptos" w:cs="Aptos" w:eastAsia="Aptos" w:hAnsi="Aptos"/>
                <w:b/>
                <w:bCs/>
                <w:color w:val="FFFFFF"/>
                <w:sz w:val="19"/>
                <w:szCs w:val="19"/>
              </w:rPr>
              <w:t xml:space="preserve">Owner</w:t>
            </w:r>
          </w:p>
        </w:tc>
      </w:tr>
      <w:tr>
        <w:tc>
          <w:tcPr>
            <w:tcW w:type="dxa" w:w="6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1</w:t>
            </w:r>
          </w:p>
        </w:tc>
        <w:tc>
          <w:tcPr>
            <w:tcW w:type="dxa" w:w="42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Exact gazetted short title of the regulations</w:t>
            </w:r>
          </w:p>
        </w:tc>
        <w:tc>
          <w:tcPr>
            <w:tcW w:type="dxa" w:w="22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Blocks 01, 02, 08</w:t>
            </w:r>
          </w:p>
        </w:tc>
        <w:tc>
          <w:tcPr>
            <w:tcW w:type="dxa" w:w="20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Security practice</w:t>
            </w:r>
          </w:p>
        </w:tc>
      </w:tr>
      <w:tr>
        <w:tc>
          <w:tcPr>
            <w:tcW w:type="dxa" w:w="6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2</w:t>
            </w:r>
          </w:p>
        </w:tc>
        <w:tc>
          <w:tcPr>
            <w:tcW w:type="dxa" w:w="42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The 72-hour significant-incident deadline</w:t>
            </w:r>
          </w:p>
        </w:tc>
        <w:tc>
          <w:tcPr>
            <w:tcW w:type="dxa" w:w="22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Blocks 02, 04, 08</w:t>
            </w:r>
          </w:p>
        </w:tc>
        <w:tc>
          <w:tcPr>
            <w:tcW w:type="dxa" w:w="20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Security practice</w:t>
            </w:r>
          </w:p>
        </w:tc>
      </w:tr>
      <w:tr>
        <w:tc>
          <w:tcPr>
            <w:tcW w:type="dxa" w:w="6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3</w:t>
            </w:r>
          </w:p>
        </w:tc>
        <w:tc>
          <w:tcPr>
            <w:tcW w:type="dxa" w:w="42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Permission for the anonymised “30 MW wind IPP” reference</w:t>
            </w:r>
          </w:p>
        </w:tc>
        <w:tc>
          <w:tcPr>
            <w:tcW w:type="dxa" w:w="22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Block 07</w:t>
            </w:r>
          </w:p>
        </w:tc>
        <w:tc>
          <w:tcPr>
            <w:tcW w:type="dxa" w:w="20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Legal / account owner</w:t>
            </w:r>
          </w:p>
        </w:tc>
      </w:tr>
      <w:tr>
        <w:tc>
          <w:tcPr>
            <w:tcW w:type="dxa" w:w="600"/>
            <w:shd w:fill="F7F9FC"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4</w:t>
            </w:r>
          </w:p>
        </w:tc>
        <w:tc>
          <w:tcPr>
            <w:tcW w:type="dxa" w:w="42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Whether to claim NIST / IEC 62443 / MITRE ATT&amp;CK alignment</w:t>
            </w:r>
          </w:p>
        </w:tc>
        <w:tc>
          <w:tcPr>
            <w:tcW w:type="dxa" w:w="2200"/>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Block 07</w:t>
            </w:r>
          </w:p>
        </w:tc>
        <w:tc>
          <w:tcPr>
            <w:tcW w:type="dxa" w:w="2026"/>
            <w:shd w:fill="F7F9FC" w:color="auto" w:val="clear"/>
            <w:tcMar>
              <w:top w:type="dxa" w:w="100"/>
              <w:left w:type="dxa" w:w="140"/>
              <w:bottom w:type="dxa" w:w="100"/>
              <w:right w:type="dxa" w:w="140"/>
            </w:tcMar>
          </w:tcPr>
          <w:p>
            <w:pPr>
              <w:spacing w:after="0"/>
            </w:pPr>
            <w:r>
              <w:rPr>
                <w:rFonts w:ascii="Aptos" w:cs="Aptos" w:eastAsia="Aptos" w:hAnsi="Aptos"/>
                <w:sz w:val="19"/>
                <w:szCs w:val="19"/>
              </w:rPr>
              <w:t xml:space="preserve">Security practice</w:t>
            </w:r>
          </w:p>
        </w:tc>
      </w:tr>
      <w:tr>
        <w:tc>
          <w:tcPr>
            <w:tcW w:type="dxa" w:w="600"/>
            <w:shd w:fill="FFFFFF" w:color="auto" w:val="clear"/>
            <w:tcMar>
              <w:top w:type="dxa" w:w="100"/>
              <w:left w:type="dxa" w:w="140"/>
              <w:bottom w:type="dxa" w:w="100"/>
              <w:right w:type="dxa" w:w="140"/>
            </w:tcMar>
          </w:tcPr>
          <w:p>
            <w:pPr>
              <w:spacing w:after="0"/>
            </w:pPr>
            <w:r>
              <w:rPr>
                <w:rFonts w:ascii="Aptos" w:cs="Aptos" w:eastAsia="Aptos" w:hAnsi="Aptos"/>
                <w:b/>
                <w:bCs/>
                <w:color w:val="0A1B3D"/>
                <w:sz w:val="19"/>
                <w:szCs w:val="19"/>
              </w:rPr>
              <w:t xml:space="preserve">5</w:t>
            </w:r>
          </w:p>
        </w:tc>
        <w:tc>
          <w:tcPr>
            <w:tcW w:type="dxa" w:w="42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Whether to publish an audit duration at all</w:t>
            </w:r>
          </w:p>
        </w:tc>
        <w:tc>
          <w:tcPr>
            <w:tcW w:type="dxa" w:w="2200"/>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Block 08</w:t>
            </w:r>
          </w:p>
        </w:tc>
        <w:tc>
          <w:tcPr>
            <w:tcW w:type="dxa" w:w="2026"/>
            <w:shd w:fill="FFFFFF" w:color="auto" w:val="clear"/>
            <w:tcMar>
              <w:top w:type="dxa" w:w="100"/>
              <w:left w:type="dxa" w:w="140"/>
              <w:bottom w:type="dxa" w:w="100"/>
              <w:right w:type="dxa" w:w="140"/>
            </w:tcMar>
          </w:tcPr>
          <w:p>
            <w:pPr>
              <w:spacing w:after="0"/>
            </w:pPr>
            <w:r>
              <w:rPr>
                <w:rFonts w:ascii="Aptos" w:cs="Aptos" w:eastAsia="Aptos" w:hAnsi="Aptos"/>
                <w:sz w:val="19"/>
                <w:szCs w:val="19"/>
              </w:rPr>
              <w:t xml:space="preserve">Sales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5A6472"/>
        <w:sz w:val="16"/>
        <w:szCs w:val="16"/>
      </w:rPr>
      <w:t xml:space="preserve">/services/nepra-it-ot-compliance    </w:t>
    </w:r>
    <w:r>
      <w:rPr>
        <w:rFonts w:ascii="Aptos" w:cs="Aptos" w:eastAsia="Aptos" w:hAnsi="Aptos"/>
        <w:color w:val="5A64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4"/>
      </w:pBdr>
      <w:spacing w:after="60"/>
      <w:jc w:val="right"/>
    </w:pPr>
    <w:r>
      <w:rPr>
        <w:rFonts w:ascii="Aptos" w:cs="Aptos" w:eastAsia="Aptos" w:hAnsi="Aptos"/>
        <w:color w:val="5A6472"/>
        <w:sz w:val="16"/>
        <w:szCs w:val="16"/>
      </w:rPr>
      <w:t xml:space="preserve">NEPRA Landing Page  ·  Content Specification for Design  ·  xLoop Digital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NEPRA Landing Page — Content Specification for Design</dc:title>
  <dc:creator>xLoop Digital</dc:creator>
  <dc:description>Block-by-block final copy and layout notes for /services/nepra-it-ot-compliance</dc:description>
  <cp:lastModifiedBy>Un-named</cp:lastModifiedBy>
  <cp:revision>1</cp:revision>
  <dcterms:created xsi:type="dcterms:W3CDTF">2026-08-25T13:09:44.102Z</dcterms:created>
  <dcterms:modified xsi:type="dcterms:W3CDTF">2026-08-25T13:09:44.102Z</dcterms:modified>
</cp:coreProperties>
</file>

<file path=docProps/custom.xml><?xml version="1.0" encoding="utf-8"?>
<Properties xmlns="http://schemas.openxmlformats.org/officeDocument/2006/custom-properties" xmlns:vt="http://schemas.openxmlformats.org/officeDocument/2006/docPropsVTypes"/>
</file>