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2681BD1" w:rsidR="00831EA1" w:rsidRPr="00240098" w:rsidRDefault="006612A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Imran Shah</w:t>
      </w:r>
    </w:p>
    <w:p w14:paraId="06549A75" w14:textId="4E43D75D" w:rsidR="00831EA1" w:rsidRPr="00240098" w:rsidRDefault="006612A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22A2379" w:rsidR="00240098" w:rsidRDefault="006612A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FFC Energy Ltd</w:t>
      </w:r>
    </w:p>
    <w:p w14:paraId="04C3DDFA" w14:textId="5D444F21" w:rsidR="00FD4F09" w:rsidRDefault="006612A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156-The Mall,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8AA3638" w:rsidR="00831EA1" w:rsidRPr="00240098" w:rsidRDefault="001973C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8CE5F2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Syed Imran Shah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87F3FE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973C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612A7">
        <w:rPr>
          <w:rFonts w:ascii="Poppins" w:hAnsi="Poppins" w:cs="Poppins"/>
          <w:sz w:val="19"/>
          <w:szCs w:val="19"/>
        </w:rPr>
        <w:t>FFC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B3D2C39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973C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7BCC2C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FFC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18784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18784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18784D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8784D"/>
    <w:rsid w:val="001973C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612A7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