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A9A4A40" w:rsidR="00831EA1" w:rsidRPr="00240098" w:rsidRDefault="004613CC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Rana Uzair Nasim</w:t>
      </w:r>
    </w:p>
    <w:p w14:paraId="06549A75" w14:textId="6795989B" w:rsidR="00831EA1" w:rsidRPr="00240098" w:rsidRDefault="004613C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015BEDC3" w:rsidR="00240098" w:rsidRDefault="004613CC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Gharo Solar Ltd</w:t>
      </w:r>
    </w:p>
    <w:p w14:paraId="04C3DDFA" w14:textId="761433FD" w:rsidR="00FD4F09" w:rsidRDefault="004613C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MB 300, Phase 6 DHA,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262CCD5" w:rsidR="00831EA1" w:rsidRPr="00240098" w:rsidRDefault="003F6778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32D180C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4613CC">
        <w:rPr>
          <w:rFonts w:ascii="Poppins" w:eastAsia="Calibri" w:hAnsi="Poppins" w:cs="Poppins"/>
          <w:color w:val="3A3A3A"/>
          <w:sz w:val="19"/>
          <w:szCs w:val="19"/>
        </w:rPr>
        <w:t>Rana Uzair Nasim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113120D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3F6778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4613CC">
        <w:rPr>
          <w:rFonts w:ascii="Poppins" w:hAnsi="Poppins" w:cs="Poppins"/>
          <w:sz w:val="19"/>
          <w:szCs w:val="19"/>
        </w:rPr>
        <w:t>Gharo Solar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07A3107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3F6778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095743B8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4613CC">
        <w:rPr>
          <w:rFonts w:ascii="Poppins" w:eastAsia="Calibri" w:hAnsi="Poppins" w:cs="Poppins"/>
          <w:color w:val="3A3A3A"/>
          <w:sz w:val="19"/>
          <w:szCs w:val="19"/>
        </w:rPr>
        <w:t>Gharo Solar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DB16D7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DB16D7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DB16D7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3F6778"/>
    <w:rsid w:val="004613C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DB16D7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232</Words>
  <Characters>1327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