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1BF9D7F" w:rsidR="00831EA1" w:rsidRPr="00240098" w:rsidRDefault="0075702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5B2C231F" w:rsidR="00831EA1" w:rsidRPr="00240098" w:rsidRDefault="007570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0FDFE0A" w:rsidR="00240098" w:rsidRDefault="0075702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</w:p>
    <w:p w14:paraId="04C3DDFA" w14:textId="30CAFC1E" w:rsidR="00FD4F09" w:rsidRDefault="0075702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Muhammad Ali Housing Society, A. Aziz Hashim Tabba Street,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837ED87" w:rsidR="00831EA1" w:rsidRPr="00240098" w:rsidRDefault="00D92CF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CE30B1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473D61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92C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5702C">
        <w:rPr>
          <w:rFonts w:ascii="Poppins" w:hAnsi="Poppins" w:cs="Poppins"/>
          <w:sz w:val="19"/>
          <w:szCs w:val="19"/>
        </w:rPr>
        <w:t>Lucky Cement Ltd (Sindh)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747808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92CF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82062C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5702C">
        <w:rPr>
          <w:rFonts w:ascii="Poppins" w:eastAsia="Calibri" w:hAnsi="Poppins" w:cs="Poppins"/>
          <w:color w:val="3A3A3A"/>
          <w:sz w:val="19"/>
          <w:szCs w:val="19"/>
        </w:rPr>
        <w:t>Lucky Cement Ltd (Sindh)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50BA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50BA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50BA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50BAF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5702C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2CF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