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v1.1 — 17 September 2026. New H1, role-based routing for each buyer, ICP-targeted FAQs. Supersedes v1</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Mainframe, COBOL, .NET Framework, Java EE, Oracle or VB6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mainframe and COBOL buyers xLoop cannot serve. The page names that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Who this page is written for</w:t>
      </w:r>
    </w:p>
    <w:p>
      <w:pPr>
        <w:spacing w:after="120" w:before="0"/>
      </w:pPr>
      <w:r>
        <w:rPr>
          <w:rFonts w:ascii="Calibri" w:cs="Calibri" w:eastAsia="Calibri" w:hAnsi="Calibri"/>
          <w:sz w:val="21"/>
          <w:szCs w:val="21"/>
        </w:rPr>
        <w:t xml:space="preserve">Three buyers from xLoop’s ICP research, plus one influencer. Each has different words for the same legacy problem, a different fear, and a different first step. The page speaks to each in their own language and routes each to the offer they are most likely to take.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700"/>
        <w:gridCol w:w="1860"/>
      </w:tblGrid>
      <w:tr>
        <w:trPr>
          <w:tblHeader/>
        </w:trPr>
        <w:tc>
          <w:tcPr>
            <w:tcW w:type="dxa" w:w="1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say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fear</w:t>
            </w:r>
          </w:p>
        </w:tc>
        <w:tc>
          <w:tcPr>
            <w:tcW w:type="dxa" w:w="1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Served by</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Modernization Owner — Head of Data, CDO, Director of Data Engineering</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"Nobody trusts reports." "Everyone wants AI but our data is fragmented."</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Being blamed when the AI initiative fails on the data layer</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1 · §3.6 · FAQ Q15 · Snowflake and utility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Transformation Sponsor — CIO, CTO, CDO, VP Transformation</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 don’t want a failed project attached to my name." "We need quick wins."</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Spending heavily and nothing changing</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2 · §3.5 · FAQ Q6, Q14 · discovery readout</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Tertiary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Product &amp; Platform Builder — CTO, VP Engineering, Head of Platform</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"We’re moving too slowly." "Roadmap commitments are at risk."</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Missing the date</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3 · §3.8 · FAQ Q8, Q9 · RPG and AWS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Influencer</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 Champion — CISO, Head of Risk</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Unsupported systems that can’t be patched</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Being the incident</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§3.3 sign 5 · FAQ Q11 · link to AI Security</w:t>
            </w:r>
          </w:p>
        </w:tc>
      </w:tr>
    </w:tbl>
    <w:p>
      <w:pPr>
        <w:spacing w:after="160" w:before="80"/>
      </w:pPr>
      <w:r>
        <w:rPr>
          <w:rFonts w:ascii="Calibri" w:cs="Calibri" w:eastAsia="Calibri" w:hAnsi="Calibri"/>
          <w:b/>
          <w:bCs/>
          <w:color w:val="5A5A6E"/>
          <w:sz w:val="19"/>
          <w:szCs w:val="19"/>
        </w:rPr>
        <w:t xml:space="preserve">Why role routing matters for lead generation. </w:t>
      </w:r>
      <w:r>
        <w:rPr>
          <w:rFonts w:ascii="Calibri" w:cs="Calibri" w:eastAsia="Calibri" w:hAnsi="Calibri"/>
          <w:i/>
          <w:iCs/>
          <w:color w:val="5A5A6E"/>
          <w:sz w:val="19"/>
          <w:szCs w:val="19"/>
        </w:rPr>
        <w:t xml:space="preserve">A single generic "contact us" converts only the buyer who is already sure. Role cards let each buyer see their own problem first, and tag the lead with a role before sales ever sees it.</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(v2.1)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applications, databases and infrastructure in phases, starting with a two-week discovery. For data, technology and engineering leaders.</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for Data, Cloud and AI</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 · 50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for Data, Cloud and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Reports that don’t match. Integrations that take months. AI pilots that stall at the data. We modernize the legacy systems behind them, in phases, starting with a two-week discovery, while the business keeps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this H1. </w:t>
      </w:r>
      <w:r>
        <w:rPr>
          <w:rFonts w:ascii="Calibri" w:cs="Calibri" w:eastAsia="Calibri" w:hAnsi="Calibri"/>
          <w:i/>
          <w:iCs/>
          <w:color w:val="5A5A6E"/>
          <w:sz w:val="19"/>
          <w:szCs w:val="19"/>
        </w:rPr>
        <w:t xml:space="preserve">It leads with the exact search term and names the three things the buyer is actually trying to fix. No wordplay. The subhead opens with the symptoms ICP research records buyers saying internally, so the right reader recognizes their problem in the first line.</w:t>
      </w:r>
    </w:p>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3"/>
        <w:spacing w:after="100" w:before="220"/>
      </w:pPr>
      <w:r>
        <w:rPr>
          <w:rFonts w:ascii="Calibri" w:cs="Calibri" w:eastAsia="Calibri" w:hAnsi="Calibri"/>
          <w:b/>
          <w:bCs/>
          <w:color w:val="1B1B3A"/>
          <w:sz w:val="22"/>
          <w:szCs w:val="22"/>
        </w:rPr>
        <w:t xml:space="preserve">Role cards  —  #who-its-for  (directly below the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Does Your Legacy Problem Show Up?</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1 — Heads of Data and CDOs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2 — CIOs, CTOs and Transformation Leaders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3 — Engineering and Platform Leaders</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trusts the numbers.</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AI plan depends on systems nobody wants to touch.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legacy stack slows every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Data is pulled by hand from systems that were never designed to share it. And every AI initiative lands on your desk as a data problem.</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Leadership wants results from AI. The plan depends on core systems that are costly to change and risky to replace — and a failed modernization would be worse than none.</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single-server application, a tightly coupled codebase, or code only one person understands. Every feature takes longer, and every deployment carries risk.</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move data off legacy sources onto a governed modern platform, running old and new side by side until the numbers reconcile. We took a retailer from SAP extracts and fragmented databases to a Snowflake lakehouse with real-time Power BI.</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two weeks, we show you which systems block your priorities, which can be opened up with an API instead of migrated, and which to leave alone. Budget goes to the few changes that unlock the plan.</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re-platform and decouple applications onto the cloud alongside your team, using AI coding assistants to work through unfamiliar code faster. We moved an ecommerce platform from a single server to AWS.</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Map my data sources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a prioritized plan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Triage one system →</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Cards 1 and 2 open the Discovery form; card 3 opens the Triage form. Each CTA passes a hidden "role" value (data / leadership / engineering) so the lead arrives tagged. Card copy is final: headline, problem, what we do, CTA.</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Reports from different systems don’t agree, and nobody can say which one is right.</w:t>
            </w:r>
          </w:p>
          <w:p>
            <w:pPr>
              <w:spacing w:after="60"/>
            </w:pPr>
            <w:r>
              <w:rPr>
                <w:rFonts w:ascii="Calibri" w:cs="Calibri" w:eastAsia="Calibri" w:hAnsi="Calibri"/>
                <w:sz w:val="21"/>
                <w:szCs w:val="21"/>
              </w:rPr>
              <w:t xml:space="preserve">• Your data team works from manual exports because there’s no reliable feed or API.</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Security can’t patch the system without breaking something — or it’s already out of vendor support.</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Often overlooked: if a system is sound but hard to reach, add an API layer. New applications and AI can use it straight away, and you can migrate behind that layer later — or not at all.</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 · a leadership readout on what to fund first, and why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the business running throughout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SUB-HEADING</w:t>
            </w:r>
          </w:p>
          <w:p>
            <w:pPr>
              <w:spacing w:after="60"/>
            </w:pPr>
            <w:r>
              <w:rPr>
                <w:rFonts w:ascii="Calibri" w:cs="Calibri" w:eastAsia="Calibri" w:hAnsi="Calibri"/>
                <w:sz w:val="21"/>
                <w:szCs w:val="21"/>
              </w:rPr>
              <w:t xml:space="preserve">What the Two-Week Discovery Gives You</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you lead…</w:t>
            </w:r>
          </w:p>
        </w:tc>
        <w:tc>
          <w:tcPr>
            <w:tcW w:type="dxa" w:w="6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You leave discovery with</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and analytics</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map of every legacy data source feeding your reports, where the numbers diverge, and a migration path that keeps existing reports running until the new ones reconcile</w:t>
            </w:r>
          </w:p>
        </w:tc>
      </w:tr>
      <w:tr>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or transformation</w:t>
            </w:r>
          </w:p>
        </w:tc>
        <w:tc>
          <w:tcPr>
            <w:tcW w:type="dxa" w:w="6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prioritized view of which systems block your roadmap and AI plans, what each option costs in effort and risk, and a readout your leadership can act on</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or platform</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technical approach for each application in scope, the first slice to modernize, and how the work fits alongside your team’s roadmap</w:t>
            </w:r>
          </w:p>
        </w:tc>
      </w:tr>
    </w:tbl>
    <w:p>
      <w:pPr>
        <w:spacing w:after="160" w:before="80"/>
      </w:pPr>
      <w:r>
        <w:rPr>
          <w:rFonts w:ascii="Calibri" w:cs="Calibri" w:eastAsia="Calibri" w:hAnsi="Calibri"/>
          <w:b/>
          <w:bCs/>
          <w:color w:val="5A5A6E"/>
          <w:sz w:val="19"/>
          <w:szCs w:val="19"/>
        </w:rPr>
        <w:t xml:space="preserve">Why this block exists. </w:t>
      </w:r>
      <w:r>
        <w:rPr>
          <w:rFonts w:ascii="Calibri" w:cs="Calibri" w:eastAsia="Calibri" w:hAnsi="Calibri"/>
          <w:i/>
          <w:iCs/>
          <w:color w:val="5A5A6E"/>
          <w:sz w:val="19"/>
          <w:szCs w:val="19"/>
        </w:rPr>
        <w:t xml:space="preserve">The discovery is the conversion point. Describing it in each buyer’s terms makes the first step concrete — the single biggest lever on booking rate.</w:t>
      </w:r>
    </w:p>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proving the new system behaves like the old one is still engineering work.</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applications to private cloud</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On-premise legacy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the RPG applications and their data to a private cloud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extracts and fragmented databases to a Snowflake lakehouse</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pulled manually from SAP and disparate databases, delaying and undermining Power BI reporting</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 Snowflake medallion lakehouse on AWS and optimized end-to-end pipelines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Real-time Power BI dashboards from a single source of truth</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pipelines for a utility</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processing across PySpark, SQL and stored procedures</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Root-cause analysis and performance tuning across the pipeline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Reliable, curated datasets for operational monitoring</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 · core application modernization and SIEM migration</w:t>
            </w:r>
          </w:p>
        </w:tc>
      </w:tr>
    </w:tbl>
    <w:p>
      <w:pPr>
        <w:spacing w:after="160" w:before="80"/>
      </w:pPr>
      <w:r>
        <w:rPr>
          <w:rFonts w:ascii="Calibri" w:cs="Calibri" w:eastAsia="Calibri" w:hAnsi="Calibri"/>
          <w:b/>
          <w:bCs/>
          <w:color w:val="5A5A6E"/>
          <w:sz w:val="19"/>
          <w:szCs w:val="19"/>
        </w:rPr>
        <w:t xml:space="preserve">Card order. </w:t>
      </w:r>
      <w:r>
        <w:rPr>
          <w:rFonts w:ascii="Calibri" w:cs="Calibri" w:eastAsia="Calibri" w:hAnsi="Calibri"/>
          <w:i/>
          <w:iCs/>
          <w:color w:val="5A5A6E"/>
          <w:sz w:val="19"/>
          <w:szCs w:val="19"/>
        </w:rPr>
        <w:t xml:space="preserve">Lead with the Snowflake lakehouse card (primary buyer: heads of data), then the RPG and AWS cards (technology and engineering leaders), then the utility pipelines card.</w:t>
      </w:r>
    </w:p>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RPG client, the ecommerce brand and the utility are all anonymized); any percentage; "zero downtime", "no downtime" or "uninterrupted performance"; the IBM i / AS/400 platform name. None of these are confirmed.</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extracts and fragmented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Snowflake medallion lakehouse on AWS</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Performance-tuned, reliable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Java EE, Oracle, COBOL, mainframe, VB6/Access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and chief data officers; CIOs, CTOs and transformation leaders; engineering and platform leaders — at mid-size and 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or COBOL conversion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Fifteen questions. Each answer opens with the answer, then explains. All fifteen go into FAQPage schema with text identical to the page. Q14 speaks to CIOs and transformation leaders; Q15 to heads of data.</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but never an all-at-once switchover. It’s how we migrated legacy RPG applications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Q14. How do we build a business case for modernizing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Compare the cost of keeping the system with the cost of changing it. Keeping it costs maintenance, scarce skills, security exposure once support ends, and the initiatives it delays — often the most expensive line, and the one most business cases leave out. Changing it costs the phased work plus the parallel running needed to do it safely. Our two-week discovery produces the system map, risks and prioritized options that both sides of that comparison are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Q15. How do we modernize legacy data sources without breaking existing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Run the old and new data pipelines side by side and reconcile the outputs, report by report, before anything is switched off. Reports move to the new platform only once their numbers match — so the business never loses a report it depends on, and the data team never has to defend a figure nobody can trace. That’s the approach behind our migration of a retailer from SAP extracts and fragmented databases to a Snowflake lakehouse with real-time Power BI.</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Eight short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Every engagement starts with discovery. We don’t quote or begin a migration without one.</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Add supporting articles from §5 here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 hero, role cards 1 and 2, band</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company size · role (pre-filled from role card)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 — hero, role card 3, band</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Eight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PHP application on a single server, RPG,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 of Data / CDO · CIO / CTO / Transformation lead · Head of Engineering or Platform · Security or risk · Other — pre-filled when arriving from a role card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50 · 50–499 · 500–999 · 1,000–10,000 · 10,000+</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 500+ AND forcing the decision = "AI or analytics initiative blocked", "Data is hard to access"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Data / CDO or CIO / CTO / Transformation lead, any size 500+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send the Decision Guide and the discovery page</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Engineering or Platform, company size 50–499</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 fits the platform-builder profile</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Company size under 50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Nurture only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 or COBOL</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Polite not-a-fit reply</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Supporting content cluster</w:t>
      </w:r>
    </w:p>
    <w:p>
      <w:pPr>
        <w:spacing w:after="120" w:before="0"/>
      </w:pPr>
      <w:r>
        <w:rPr>
          <w:rFonts w:ascii="Calibri" w:cs="Calibri" w:eastAsia="Calibri" w:hAnsi="Calibri"/>
          <w:sz w:val="21"/>
          <w:szCs w:val="21"/>
        </w:rPr>
        <w:t xml:space="preserve">These articles keep the page fed with search and AI traffic after launch. Each links to this page with the anchor text given; this page links back from its Resources block.</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4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Written for</w:t>
            </w:r>
          </w:p>
        </w:tc>
        <w:tc>
          <w:tcPr>
            <w:tcW w:type="dxa" w:w="24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 evaluating options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CTOs worried about disruption</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AI Can — and Can’t — Do in Legacy Code Modernization</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highly citable</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in legacy modernization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Build a Business Case for Modernizing a Legacy System</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transformation leaders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and heads of data; links the existing "why AI projects stall" post, which ranks first with no clicks</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From SAP Extracts to a Lakehouse: Modernizing Legacy Data for Analytics and AI</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uses approved Snowflake proof</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3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to Migrate Legacy Data Sources Without Breaking Your Reports</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 their core fear</w:t>
            </w:r>
          </w:p>
        </w:tc>
        <w:tc>
          <w:tcPr>
            <w:tcW w:type="dxa" w:w="24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data sources</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CTOs and platform leaders; an angle no competitor covers</w:t>
            </w:r>
          </w:p>
        </w:tc>
        <w:tc>
          <w:tcPr>
            <w:tcW w:type="dxa" w:w="24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r>
    </w:tbl>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mainframe · COBOL · core banking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15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(including the per-role discovery outputs), role card 1, and FAQ Q3, Q7, Q10, Q11, Q15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Java EE, Oracle, COBOL,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2026-09-17T07:21:44.990Z</dcterms:created>
  <dcterms:modified xsi:type="dcterms:W3CDTF">2026-09-17T07:21:45.001Z</dcterms:modified>
</cp:coreProperties>
</file>

<file path=docProps/custom.xml><?xml version="1.0" encoding="utf-8"?>
<Properties xmlns="http://schemas.openxmlformats.org/officeDocument/2006/custom-properties" xmlns:vt="http://schemas.openxmlformats.org/officeDocument/2006/docPropsVTypes"/>
</file>