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50"/>
      </w:pPr>
      <w:r>
        <w:rPr>
          <w:rFonts w:ascii="Aptos" w:cs="Aptos" w:eastAsia="Aptos" w:hAnsi="Aptos"/>
          <w:b/>
          <w:bCs/>
          <w:color w:val="0E9A8D"/>
          <w:spacing w:val="50"/>
          <w:sz w:val="19"/>
          <w:szCs w:val="19"/>
        </w:rPr>
        <w:t xml:space="preserve">SEARCH · ANSWER ENGINES · AI AGENTS</w:t>
      </w:r>
    </w:p>
    <w:p>
      <w:pPr>
        <w:spacing w:after="70"/>
      </w:pPr>
      <w:r>
        <w:rPr>
          <w:rFonts w:ascii="Aptos" w:cs="Aptos" w:eastAsia="Aptos" w:hAnsi="Aptos"/>
          <w:b/>
          <w:bCs/>
          <w:color w:val="0A1B3D"/>
          <w:sz w:val="50"/>
          <w:szCs w:val="50"/>
        </w:rPr>
        <w:t xml:space="preserve">NEPRA Landing Page</w:t>
      </w:r>
    </w:p>
    <w:p>
      <w:pPr>
        <w:spacing w:after="240"/>
      </w:pPr>
      <w:r>
        <w:rPr>
          <w:rFonts w:ascii="Aptos" w:cs="Aptos" w:eastAsia="Aptos" w:hAnsi="Aptos"/>
          <w:color w:val="1F6FEB"/>
          <w:sz w:val="28"/>
          <w:szCs w:val="28"/>
        </w:rPr>
        <w:t xml:space="preserve">SEO &amp; AEO optimised content</w:t>
      </w:r>
    </w:p>
    <w:p>
      <w:pPr>
        <w:pBdr>
          <w:bottom w:val="single" w:color="D5DCE6" w:sz="6"/>
        </w:pBdr>
        <w:spacing w:after="120" w:before="100"/>
      </w:pPr>
      <w:r>
        <w:rPr>
          <w:rFonts w:ascii="Aptos" w:cs="Aptos" w:eastAsia="Aptos" w:hAnsi="Aptos"/>
          <w:sz w:val="21"/>
          <w:szCs w:val="21"/>
        </w:rPr>
        <w:t xml:space="preserve"/>
      </w:r>
    </w:p>
    <w:p>
      <w:pPr>
        <w:spacing w:after="120" w:line="276"/>
      </w:pPr>
      <w:r>
        <w:rPr>
          <w:rFonts w:ascii="Aptos" w:cs="Aptos" w:eastAsia="Aptos" w:hAnsi="Aptos"/>
          <w:b/>
          <w:bCs/>
          <w:sz w:val="21"/>
          <w:szCs w:val="21"/>
        </w:rPr>
        <w:t xml:space="preserve">Page: </w:t>
      </w:r>
      <w:r>
        <w:rPr>
          <w:rFonts w:ascii="Aptos" w:cs="Aptos" w:eastAsia="Aptos" w:hAnsi="Aptos"/>
          <w:sz w:val="21"/>
          <w:szCs w:val="21"/>
        </w:rPr>
        <w:t xml:space="preserve">/services/nepra-it-ot-compliance</w:t>
      </w:r>
    </w:p>
    <w:p>
      <w:pPr>
        <w:spacing w:after="120" w:line="276"/>
      </w:pPr>
      <w:r>
        <w:rPr>
          <w:rFonts w:ascii="Aptos" w:cs="Aptos" w:eastAsia="Aptos" w:hAnsi="Aptos"/>
          <w:b/>
          <w:bCs/>
          <w:sz w:val="21"/>
          <w:szCs w:val="21"/>
        </w:rPr>
        <w:t xml:space="preserve">Prepared for: </w:t>
      </w:r>
      <w:r>
        <w:rPr>
          <w:rFonts w:ascii="Aptos" w:cs="Aptos" w:eastAsia="Aptos" w:hAnsi="Aptos"/>
          <w:sz w:val="21"/>
          <w:szCs w:val="21"/>
        </w:rPr>
        <w:t xml:space="preserve">xLoop Digital — marketing, web and security practice</w:t>
      </w:r>
    </w:p>
    <w:p>
      <w:pPr>
        <w:spacing w:after="120" w:line="276"/>
      </w:pPr>
      <w:r>
        <w:rPr>
          <w:rFonts w:ascii="Aptos" w:cs="Aptos" w:eastAsia="Aptos" w:hAnsi="Aptos"/>
          <w:b/>
          <w:bCs/>
          <w:sz w:val="21"/>
          <w:szCs w:val="21"/>
        </w:rPr>
        <w:t xml:space="preserve">Date: </w:t>
      </w:r>
      <w:r>
        <w:rPr>
          <w:rFonts w:ascii="Aptos" w:cs="Aptos" w:eastAsia="Aptos" w:hAnsi="Aptos"/>
          <w:sz w:val="21"/>
          <w:szCs w:val="21"/>
        </w:rPr>
        <w:t xml:space="preserve">25 August 2026</w:t>
      </w:r>
    </w:p>
    <w:p>
      <w:pPr>
        <w:spacing w:after="120" w:line="276"/>
      </w:pPr>
      <w:r>
        <w:rPr>
          <w:rFonts w:ascii="Aptos" w:cs="Aptos" w:eastAsia="Aptos" w:hAnsi="Aptos"/>
          <w:b/>
          <w:bCs/>
          <w:sz w:val="21"/>
          <w:szCs w:val="21"/>
        </w:rPr>
        <w:t xml:space="preserve">Companions: </w:t>
      </w:r>
      <w:r>
        <w:rPr>
          <w:rFonts w:ascii="Aptos" w:cs="Aptos" w:eastAsia="Aptos" w:hAnsi="Aptos"/>
          <w:sz w:val="21"/>
          <w:szCs w:val="21"/>
        </w:rPr>
        <w:t xml:space="preserve">…-nepra-website-copy-deck.docx (placement) · …-nepra-landing-page-content-spec.docx (design handoff)</w:t>
      </w:r>
    </w:p>
    <w:p>
      <w:pPr>
        <w:spacing w:after="300"/>
      </w:pPr>
      <w:r>
        <w:rPr>
          <w:rFonts w:ascii="Aptos" w:cs="Aptos" w:eastAsia="Aptos" w:hAnsi="Aptos"/>
          <w:sz w:val="21"/>
          <w:szCs w:val="21"/>
        </w:rPr>
        <w:t xml:space="preserve"/>
      </w:r>
    </w:p>
    <w:tbl>
      <w:tblPr>
        <w:tblW w:type="dxa" w:w="9026"/>
        <w:tblBorders>
          <w:top w:val="single" w:color="FDECEA" w:sz="2"/>
          <w:left w:val="single" w:color="C0392B" w:sz="16"/>
          <w:bottom w:val="single" w:color="FDECEA" w:sz="2"/>
          <w:right w:val="single" w:color="FDECEA" w:sz="2"/>
          <w:insideH w:val="none" w:color="FDECEA" w:sz="0"/>
          <w:insideV w:val="none" w:color="FDECEA" w:sz="0"/>
        </w:tblBorders>
      </w:tblPr>
      <w:tblGrid>
        <w:gridCol w:w="9026"/>
      </w:tblGrid>
      <w:tr>
        <w:tc>
          <w:tcPr>
            <w:tcW w:type="dxa" w:w="9026"/>
            <w:shd w:fill="FDECEA" w:color="auto" w:val="clear"/>
            <w:tcMar>
              <w:top w:type="dxa" w:w="150"/>
              <w:left w:type="dxa" w:w="210"/>
              <w:bottom w:type="dxa" w:w="150"/>
              <w:right w:type="dxa" w:w="210"/>
            </w:tcMar>
          </w:tcPr>
          <w:p>
            <w:pPr>
              <w:spacing w:after="90"/>
            </w:pPr>
            <w:r>
              <w:rPr>
                <w:rFonts w:ascii="Aptos" w:cs="Aptos" w:eastAsia="Aptos" w:hAnsi="Aptos"/>
                <w:b/>
                <w:bCs/>
                <w:color w:val="9B2C1E"/>
                <w:sz w:val="23"/>
                <w:szCs w:val="23"/>
              </w:rPr>
              <w:t xml:space="preserve">Read section 1 before commissioning this page.</w:t>
            </w:r>
          </w:p>
          <w:p>
            <w:r>
              <w:rPr>
                <w:rFonts w:ascii="Aptos" w:cs="Aptos" w:eastAsia="Aptos" w:hAnsi="Aptos"/>
                <w:sz w:val="20"/>
                <w:szCs w:val="20"/>
              </w:rPr>
              <w:t xml:space="preserve">Research for this document surfaced a claim that NEPRA compliance audits may only be performed by a Category-1 audit firm recognised by the National CERT. xLoop is not on that register. If the claim holds, the headline service on this page cannot be sold as written. Nothing else in this document matters until that is resolved.</w:t>
            </w:r>
          </w:p>
        </w:tc>
      </w:tr>
    </w:tbl>
    <w:p>
      <w:r>
        <w:br w:type="page"/>
      </w:r>
    </w:p>
    <w:p>
      <w:pPr>
        <w:pStyle w:val="Heading1"/>
        <w:spacing w:after="140" w:before="360"/>
      </w:pPr>
      <w:r>
        <w:rPr>
          <w:rFonts w:ascii="Aptos" w:cs="Aptos" w:eastAsia="Aptos" w:hAnsi="Aptos"/>
          <w:b/>
          <w:bCs/>
          <w:color w:val="0A1B3D"/>
          <w:sz w:val="32"/>
          <w:szCs w:val="32"/>
        </w:rPr>
        <w:t xml:space="preserve">1. One thing to resolve first</w:t>
      </w:r>
    </w:p>
    <w:p>
      <w:pPr>
        <w:spacing w:after="120" w:line="276"/>
      </w:pPr>
      <w:r>
        <w:rPr>
          <w:rFonts w:ascii="Aptos" w:cs="Aptos" w:eastAsia="Aptos" w:hAnsi="Aptos"/>
          <w:sz w:val="21"/>
          <w:szCs w:val="21"/>
        </w:rPr>
        <w:t xml:space="preserve">While researching competitors for this document I found a claim, published by a competing Pakistani security firm, that </w:t>
      </w:r>
      <w:r>
        <w:rPr>
          <w:rFonts w:ascii="Aptos" w:cs="Aptos" w:eastAsia="Aptos" w:hAnsi="Aptos"/>
          <w:b/>
          <w:bCs/>
          <w:sz w:val="21"/>
          <w:szCs w:val="21"/>
        </w:rPr>
        <w:t xml:space="preserve">“it is now mandatory for every NEPRA licensee to go through a third-party audit only through a Category-1 Audit Firm which should be duly recognised”</w:t>
      </w:r>
      <w:r>
        <w:rPr>
          <w:rFonts w:ascii="Aptos" w:cs="Aptos" w:eastAsia="Aptos" w:hAnsi="Aptos"/>
          <w:sz w:val="21"/>
          <w:szCs w:val="21"/>
        </w:rPr>
        <w:t xml:space="preserve">. That sent me to the National CERT’s register of recognised audit firms.</w:t>
      </w:r>
    </w:p>
    <w:p>
      <w:pPr>
        <w:pStyle w:val="Heading2"/>
        <w:spacing w:after="110" w:before="280"/>
      </w:pPr>
      <w:r>
        <w:rPr>
          <w:rFonts w:ascii="Aptos" w:cs="Aptos" w:eastAsia="Aptos" w:hAnsi="Aptos"/>
          <w:b/>
          <w:bCs/>
          <w:color w:val="0A1B3D"/>
          <w:sz w:val="25"/>
          <w:szCs w:val="25"/>
        </w:rPr>
        <w:t xml:space="preserve">What the register actually shows</w:t>
      </w:r>
    </w:p>
    <w:p>
      <w:pPr>
        <w:spacing w:after="120" w:line="276"/>
      </w:pPr>
      <w:r>
        <w:rPr>
          <w:rFonts w:ascii="Aptos" w:cs="Aptos" w:eastAsia="Aptos" w:hAnsi="Aptos"/>
          <w:sz w:val="21"/>
          <w:szCs w:val="21"/>
        </w:rPr>
        <w:t xml:space="preserve">PKCERT (pkcert.gov.pk/registered-firms.asp) publishes recognised firms by category. The relevant entries:</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00"/>
        <w:gridCol w:w="7126"/>
      </w:tblGrid>
      <w:tr>
        <w:trPr>
          <w:tblHeader/>
        </w:trPr>
        <w:tc>
          <w:tcPr>
            <w:tcW w:type="dxa" w:w="19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Category</w:t>
            </w:r>
          </w:p>
        </w:tc>
        <w:tc>
          <w:tcPr>
            <w:tcW w:type="dxa" w:w="71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Firms listed</w:t>
            </w:r>
          </w:p>
        </w:tc>
      </w:tr>
      <w:tr>
        <w:tc>
          <w:tcPr>
            <w:tcW w:type="dxa" w:w="19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OT Security (CAT-I)</w:t>
            </w:r>
          </w:p>
        </w:tc>
        <w:tc>
          <w:tcPr>
            <w:tcW w:type="dxa" w:w="71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Phitech Solutions · National Electronics Complex of Pakistan (NECOP) · Risk Associates</w:t>
            </w:r>
          </w:p>
        </w:tc>
      </w:tr>
      <w:tr>
        <w:tc>
          <w:tcPr>
            <w:tcW w:type="dxa" w:w="19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IT Security (CAT-I)</w:t>
            </w:r>
          </w:p>
        </w:tc>
        <w:tc>
          <w:tcPr>
            <w:tcW w:type="dxa" w:w="71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Risk Associates · Catalyic Security · Yottabyte · Trillium · Ebryx · NECOP · Common Criteria Pakistan Lab · Redseclabs · 360 Technologies · CS Zone · DAS Certification · Digiinn360 · Computer Marketing Company · Famco Associates · Interdisciplinary Research Center · Compliance Wing</w:t>
            </w:r>
          </w:p>
        </w:tc>
      </w:tr>
      <w:tr>
        <w:tc>
          <w:tcPr>
            <w:tcW w:type="dxa" w:w="19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IT Security (CAT-III)</w:t>
            </w:r>
          </w:p>
        </w:tc>
        <w:tc>
          <w:tcPr>
            <w:tcW w:type="dxa" w:w="71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Rewterz · Growtharbor</w:t>
            </w:r>
          </w:p>
        </w:tc>
      </w:tr>
      <w:tr>
        <w:tc>
          <w:tcPr>
            <w:tcW w:type="dxa" w:w="19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Cloud Security (CAT-I)</w:t>
            </w:r>
          </w:p>
        </w:tc>
        <w:tc>
          <w:tcPr>
            <w:tcW w:type="dxa" w:w="71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Risk Associates · Catalyic Security</w:t>
            </w:r>
          </w:p>
        </w:tc>
      </w:tr>
    </w:tbl>
    <w:p>
      <w:pPr>
        <w:spacing w:after="140"/>
      </w:pPr>
      <w:r>
        <w:rPr>
          <w:rFonts w:ascii="Aptos" w:cs="Aptos" w:eastAsia="Aptos" w:hAnsi="Aptos"/>
          <w:sz w:val="21"/>
          <w:szCs w:val="21"/>
        </w:rPr>
        <w:t xml:space="preserve"/>
      </w:r>
    </w:p>
    <w:tbl>
      <w:tblPr>
        <w:tblW w:type="dxa" w:w="9026"/>
        <w:tblBorders>
          <w:top w:val="single" w:color="FDECEA" w:sz="2"/>
          <w:left w:val="single" w:color="C0392B" w:sz="16"/>
          <w:bottom w:val="single" w:color="FDECEA" w:sz="2"/>
          <w:right w:val="single" w:color="FDECEA" w:sz="2"/>
          <w:insideH w:val="none" w:color="FDECEA" w:sz="0"/>
          <w:insideV w:val="none" w:color="FDECEA" w:sz="0"/>
        </w:tblBorders>
      </w:tblPr>
      <w:tblGrid>
        <w:gridCol w:w="9026"/>
      </w:tblGrid>
      <w:tr>
        <w:tc>
          <w:tcPr>
            <w:tcW w:type="dxa" w:w="9026"/>
            <w:shd w:fill="FDECEA" w:color="auto" w:val="clear"/>
            <w:tcMar>
              <w:top w:type="dxa" w:w="150"/>
              <w:left w:type="dxa" w:w="210"/>
              <w:bottom w:type="dxa" w:w="150"/>
              <w:right w:type="dxa" w:w="210"/>
            </w:tcMar>
          </w:tcPr>
          <w:p>
            <w:pPr>
              <w:spacing w:after="80"/>
            </w:pPr>
            <w:r>
              <w:rPr>
                <w:rFonts w:ascii="Aptos" w:cs="Aptos" w:eastAsia="Aptos" w:hAnsi="Aptos"/>
                <w:b/>
                <w:bCs/>
                <w:color w:val="9B2C1E"/>
                <w:sz w:val="21"/>
                <w:szCs w:val="21"/>
              </w:rPr>
              <w:t xml:space="preserve">xLoop Digital is not on that register, in any category.</w:t>
            </w:r>
          </w:p>
          <w:p>
            <w:pPr>
              <w:spacing w:after="80"/>
            </w:pPr>
            <w:r>
              <w:rPr>
                <w:rFonts w:ascii="Aptos" w:cs="Aptos" w:eastAsia="Aptos" w:hAnsi="Aptos"/>
                <w:sz w:val="20"/>
                <w:szCs w:val="20"/>
              </w:rPr>
              <w:t xml:space="preserve">Two things cut the other way, so this is a question rather than a verdict. First, the PKCERT page describes those firms as available to support “Federal Ministries, Divisions, and Departments” — it does not mention NEPRA at all. Second, the Category-1 claim comes from a competitor’s marketing post, and that competitor is itself on the IT Security CAT-I list, which is an obvious incentive to state the requirement as broadly as possible.</w:t>
            </w:r>
          </w:p>
          <w:p>
            <w:r>
              <w:rPr>
                <w:rFonts w:ascii="Aptos" w:cs="Aptos" w:eastAsia="Aptos" w:hAnsi="Aptos"/>
                <w:sz w:val="20"/>
                <w:szCs w:val="20"/>
              </w:rPr>
              <w:t xml:space="preserve">So the claim is unverified. It is also high-stakes, because it goes to whether the headline service on this page can be delivered at all.</w:t>
            </w:r>
          </w:p>
        </w:tc>
      </w:tr>
    </w:tbl>
    <w:p>
      <w:pPr>
        <w:pStyle w:val="Heading2"/>
        <w:spacing w:after="110" w:before="280"/>
      </w:pPr>
      <w:r>
        <w:rPr>
          <w:rFonts w:ascii="Aptos" w:cs="Aptos" w:eastAsia="Aptos" w:hAnsi="Aptos"/>
          <w:b/>
          <w:bCs/>
          <w:color w:val="0A1B3D"/>
          <w:sz w:val="25"/>
          <w:szCs w:val="25"/>
        </w:rPr>
        <w:t xml:space="preserve">What to do about it</w:t>
      </w:r>
    </w:p>
    <w:p>
      <w:pPr>
        <w:pStyle w:val="ListParagraph"/>
        <w:numPr>
          <w:ilvl w:val="0"/>
          <w:numId w:val="2"/>
        </w:numPr>
        <w:spacing w:after="60" w:line="276"/>
      </w:pPr>
      <w:r>
        <w:rPr>
          <w:rFonts w:ascii="Aptos" w:cs="Aptos" w:eastAsia="Aptos" w:hAnsi="Aptos"/>
          <w:b/>
          <w:bCs/>
          <w:sz w:val="21"/>
          <w:szCs w:val="21"/>
        </w:rPr>
        <w:t xml:space="preserve">Confirm with NEPRA directly </w:t>
      </w:r>
      <w:r>
        <w:rPr>
          <w:rFonts w:ascii="Aptos" w:cs="Aptos" w:eastAsia="Aptos" w:hAnsi="Aptos"/>
          <w:sz w:val="21"/>
          <w:szCs w:val="21"/>
        </w:rPr>
        <w:t xml:space="preserve">whether Regulation 8 audits must be performed by a CERT-recognised Category-1 firm, and if so which category applies to a combined IT and OT audit. This is a phone call, and it should happen before any page is built.</w:t>
      </w:r>
    </w:p>
    <w:p>
      <w:pPr>
        <w:pStyle w:val="ListParagraph"/>
        <w:numPr>
          <w:ilvl w:val="0"/>
          <w:numId w:val="2"/>
        </w:numPr>
        <w:spacing w:after="60" w:line="276"/>
      </w:pPr>
      <w:r>
        <w:rPr>
          <w:rFonts w:ascii="Aptos" w:cs="Aptos" w:eastAsia="Aptos" w:hAnsi="Aptos"/>
          <w:b/>
          <w:bCs/>
          <w:sz w:val="21"/>
          <w:szCs w:val="21"/>
        </w:rPr>
        <w:t xml:space="preserve">If a recognised firm is required: </w:t>
      </w:r>
      <w:r>
        <w:rPr>
          <w:rFonts w:ascii="Aptos" w:cs="Aptos" w:eastAsia="Aptos" w:hAnsi="Aptos"/>
          <w:sz w:val="21"/>
          <w:szCs w:val="21"/>
        </w:rPr>
        <w:t xml:space="preserve">the honest positions are to partner with a listed OT Security CAT-I firm and say so, or to reposition this page from “audit” to readiness, gap assessment, policy development, VAPT and training — all of which xLoop can deliver regardless. That is a copy change, not a lost campaign.</w:t>
      </w:r>
    </w:p>
    <w:p>
      <w:pPr>
        <w:pStyle w:val="ListParagraph"/>
        <w:numPr>
          <w:ilvl w:val="0"/>
          <w:numId w:val="2"/>
        </w:numPr>
        <w:spacing w:after="60" w:line="276"/>
      </w:pPr>
      <w:r>
        <w:rPr>
          <w:rFonts w:ascii="Aptos" w:cs="Aptos" w:eastAsia="Aptos" w:hAnsi="Aptos"/>
          <w:b/>
          <w:bCs/>
          <w:sz w:val="21"/>
          <w:szCs w:val="21"/>
        </w:rPr>
        <w:t xml:space="preserve">If it is not required: </w:t>
      </w:r>
      <w:r>
        <w:rPr>
          <w:rFonts w:ascii="Aptos" w:cs="Aptos" w:eastAsia="Aptos" w:hAnsi="Aptos"/>
          <w:sz w:val="21"/>
          <w:szCs w:val="21"/>
        </w:rPr>
        <w:t xml:space="preserve">publish as drafted, and consider applying to the register anyway — “CERT-recognised” would be the single strongest differentiator available on this page.</w:t>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VERIFY  </w:t>
            </w:r>
            <w:r>
              <w:rPr>
                <w:rFonts w:ascii="Aptos" w:cs="Aptos" w:eastAsia="Aptos" w:hAnsi="Aptos"/>
                <w:sz w:val="20"/>
                <w:szCs w:val="20"/>
              </w:rPr>
              <w:t xml:space="preserve">This supersedes every other open item in the earlier documents. The 87 letters have already gone out describing a “NEPRA Compliance Audit”, so the answer matters beyond the website.</w:t>
            </w:r>
          </w:p>
        </w:tc>
      </w:tr>
    </w:tbl>
    <w:p>
      <w:r>
        <w:br w:type="page"/>
      </w:r>
    </w:p>
    <w:p>
      <w:pPr>
        <w:pStyle w:val="Heading1"/>
        <w:spacing w:after="140" w:before="360"/>
      </w:pPr>
      <w:r>
        <w:rPr>
          <w:rFonts w:ascii="Aptos" w:cs="Aptos" w:eastAsia="Aptos" w:hAnsi="Aptos"/>
          <w:b/>
          <w:bCs/>
          <w:color w:val="0A1B3D"/>
          <w:sz w:val="32"/>
          <w:szCs w:val="32"/>
        </w:rPr>
        <w:t xml:space="preserve">2. The real competitive landscape</w:t>
      </w:r>
    </w:p>
    <w:tbl>
      <w:tblPr>
        <w:tblW w:type="dxa" w:w="9026"/>
        <w:tblBorders>
          <w:top w:val="single" w:color="F2F5FA" w:sz="2"/>
          <w:left w:val="single" w:color="1F6FEB" w:sz="16"/>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50"/>
              <w:left w:type="dxa" w:w="210"/>
              <w:bottom w:type="dxa" w:w="150"/>
              <w:right w:type="dxa" w:w="210"/>
            </w:tcMar>
          </w:tcPr>
          <w:p>
            <w:r>
              <w:rPr>
                <w:rFonts w:ascii="Aptos" w:cs="Aptos" w:eastAsia="Aptos" w:hAnsi="Aptos"/>
                <w:b/>
                <w:bCs/>
                <w:sz w:val="20"/>
                <w:szCs w:val="20"/>
              </w:rPr>
              <w:t xml:space="preserve">Correction to my earlier brief. </w:t>
            </w:r>
            <w:r>
              <w:rPr>
                <w:rFonts w:ascii="Aptos" w:cs="Aptos" w:eastAsia="Aptos" w:hAnsi="Aptos"/>
                <w:sz w:val="20"/>
                <w:szCs w:val="20"/>
              </w:rPr>
              <w:t xml:space="preserve">I previously said there was “very little strong Pakistani competition” for these terms. Having now looked properly, that was too optimistic — there are at least six firms actively marketing NEPRA compliance, and one has a dedicated subdomain with productised pricing. The opportunity is still real, but it is narrower and more specific than I first described, and the strategy below is built on what these competitors actually publish.</w:t>
            </w:r>
          </w:p>
        </w:tc>
      </w:tr>
    </w:tbl>
    <w:p>
      <w:pPr>
        <w:pStyle w:val="Heading2"/>
        <w:spacing w:after="110" w:before="280"/>
      </w:pPr>
      <w:r>
        <w:rPr>
          <w:rFonts w:ascii="Aptos" w:cs="Aptos" w:eastAsia="Aptos" w:hAnsi="Aptos"/>
          <w:b/>
          <w:bCs/>
          <w:color w:val="0A1B3D"/>
          <w:sz w:val="25"/>
          <w:szCs w:val="25"/>
        </w:rPr>
        <w:t xml:space="preserve">Who is already ranking</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700"/>
        <w:gridCol w:w="4200"/>
        <w:gridCol w:w="3126"/>
      </w:tblGrid>
      <w:tr>
        <w:trPr>
          <w:tblHeader/>
        </w:trPr>
        <w:tc>
          <w:tcPr>
            <w:tcW w:type="dxa" w:w="17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Competitor</w:t>
            </w:r>
          </w:p>
        </w:tc>
        <w:tc>
          <w:tcPr>
            <w:tcW w:type="dxa" w:w="42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What they have published</w:t>
            </w:r>
          </w:p>
        </w:tc>
        <w:tc>
          <w:tcPr>
            <w:tcW w:type="dxa" w:w="31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Gap we can exploit</w:t>
            </w:r>
          </w:p>
        </w:tc>
      </w:tr>
      <w:tr>
        <w:tc>
          <w:tcPr>
            <w:tcW w:type="dxa" w:w="1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SPS (nepra.spsnet.com)</w:t>
            </w:r>
          </w:p>
        </w:tc>
        <w:tc>
          <w:tcPr>
            <w:tcW w:type="dxa" w:w="4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 dedicated NEPRA subdomain — “NEPRA Compliance as a Service”. Eight service categories mapped loosely to the regulations. Productised pricing at $1k / $3k / month.</w:t>
            </w:r>
          </w:p>
        </w:tc>
        <w:tc>
          <w:tcPr>
            <w:tcW w:type="dxa" w:w="31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No clause-by-clause table. No FAQ at all. Service-led, not requirement-led.</w:t>
            </w:r>
          </w:p>
        </w:tc>
      </w:tr>
      <w:tr>
        <w:tc>
          <w:tcPr>
            <w:tcW w:type="dxa" w:w="1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Catalyic Security</w:t>
            </w:r>
          </w:p>
        </w:tc>
        <w:tc>
          <w:tcPr>
            <w:tcW w:type="dxa" w:w="4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A ranking explainer article, “NEPRA’s IT &amp; OT Security Regulations: What You Need to Do Now”. On PKCERT IT Security CAT-I.</w:t>
            </w:r>
          </w:p>
        </w:tc>
        <w:tc>
          <w:tcPr>
            <w:tcW w:type="dxa" w:w="31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Article, not a service page. Thin on regulation-level specifics.</w:t>
            </w:r>
          </w:p>
        </w:tc>
      </w:tr>
      <w:tr>
        <w:tc>
          <w:tcPr>
            <w:tcW w:type="dxa" w:w="1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Ebryx</w:t>
            </w:r>
          </w:p>
        </w:tc>
        <w:tc>
          <w:tcPr>
            <w:tcW w:type="dxa" w:w="4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LinkedIn thought-leadership on the Category-1 requirement. On PKCERT IT Security CAT-I.</w:t>
            </w:r>
          </w:p>
        </w:tc>
        <w:tc>
          <w:tcPr>
            <w:tcW w:type="dxa" w:w="31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No dedicated NEPRA landing page found.</w:t>
            </w:r>
          </w:p>
        </w:tc>
      </w:tr>
      <w:tr>
        <w:tc>
          <w:tcPr>
            <w:tcW w:type="dxa" w:w="1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INTECH Automation</w:t>
            </w:r>
          </w:p>
        </w:tc>
        <w:tc>
          <w:tcPr>
            <w:tcW w:type="dxa" w:w="4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“NEPRA-Compliant OT Cybersecurity” page. Strong OT/automation credibility.</w:t>
            </w:r>
          </w:p>
        </w:tc>
        <w:tc>
          <w:tcPr>
            <w:tcW w:type="dxa" w:w="31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OT-only framing; weaker on the IT and governance half of the regulations.</w:t>
            </w:r>
          </w:p>
        </w:tc>
      </w:tr>
      <w:tr>
        <w:tc>
          <w:tcPr>
            <w:tcW w:type="dxa" w:w="1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Supersecure</w:t>
            </w:r>
          </w:p>
        </w:tc>
        <w:tc>
          <w:tcPr>
            <w:tcW w:type="dxa" w:w="4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Workshop and event content around NEPRA 2022.</w:t>
            </w:r>
          </w:p>
        </w:tc>
        <w:tc>
          <w:tcPr>
            <w:tcW w:type="dxa" w:w="31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Event-led, not an evergreen service page.</w:t>
            </w:r>
          </w:p>
        </w:tc>
      </w:tr>
      <w:tr>
        <w:tc>
          <w:tcPr>
            <w:tcW w:type="dxa" w:w="1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Cyberisk</w:t>
            </w:r>
          </w:p>
        </w:tc>
        <w:tc>
          <w:tcPr>
            <w:tcW w:type="dxa" w:w="4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 listed among several compliance frameworks on a services page.</w:t>
            </w:r>
          </w:p>
        </w:tc>
        <w:tc>
          <w:tcPr>
            <w:tcW w:type="dxa" w:w="31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Not a dedicated page; NEPRA is one line among many.</w:t>
            </w:r>
          </w:p>
        </w:tc>
      </w:tr>
    </w:tbl>
    <w:p>
      <w:pPr>
        <w:spacing w:after="140"/>
      </w:pPr>
      <w:r>
        <w:rPr>
          <w:rFonts w:ascii="Aptos" w:cs="Aptos" w:eastAsia="Aptos" w:hAnsi="Aptos"/>
          <w:sz w:val="21"/>
          <w:szCs w:val="21"/>
        </w:rPr>
        <w:t xml:space="preserve"/>
      </w:r>
    </w:p>
    <w:p>
      <w:pPr>
        <w:pStyle w:val="Heading2"/>
        <w:spacing w:after="110" w:before="280"/>
      </w:pPr>
      <w:r>
        <w:rPr>
          <w:rFonts w:ascii="Aptos" w:cs="Aptos" w:eastAsia="Aptos" w:hAnsi="Aptos"/>
          <w:b/>
          <w:bCs/>
          <w:color w:val="0A1B3D"/>
          <w:sz w:val="25"/>
          <w:szCs w:val="25"/>
        </w:rPr>
        <w:t xml:space="preserve">The gap, stated precisely</w:t>
      </w:r>
    </w:p>
    <w:p>
      <w:pPr>
        <w:spacing w:after="120" w:line="276"/>
      </w:pPr>
      <w:r>
        <w:rPr>
          <w:rFonts w:ascii="Aptos" w:cs="Aptos" w:eastAsia="Aptos" w:hAnsi="Aptos"/>
          <w:sz w:val="21"/>
          <w:szCs w:val="21"/>
        </w:rPr>
        <w:t xml:space="preserve">Every competitor sells the service. Nobody has published the requirement. Not one of them has a clause-by-clause table of Regulations 4 to 11, and the strongest of them has no FAQ section at all.</w:t>
      </w:r>
    </w:p>
    <w:tbl>
      <w:tblPr>
        <w:tblW w:type="dxa" w:w="9026"/>
        <w:tblBorders>
          <w:top w:val="single" w:color="F2F5FA" w:sz="2"/>
          <w:left w:val="single" w:color="1F6FEB" w:sz="16"/>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50"/>
              <w:left w:type="dxa" w:w="210"/>
              <w:bottom w:type="dxa" w:w="150"/>
              <w:right w:type="dxa" w:w="210"/>
            </w:tcMar>
          </w:tcPr>
          <w:p>
            <w:r>
              <w:rPr>
                <w:rFonts w:ascii="Aptos" w:cs="Aptos" w:eastAsia="Aptos" w:hAnsi="Aptos"/>
                <w:b/>
                <w:bCs/>
                <w:sz w:val="20"/>
                <w:szCs w:val="20"/>
              </w:rPr>
              <w:t xml:space="preserve">That is the whole strategy. </w:t>
            </w:r>
            <w:r>
              <w:rPr>
                <w:rFonts w:ascii="Aptos" w:cs="Aptos" w:eastAsia="Aptos" w:hAnsi="Aptos"/>
                <w:sz w:val="20"/>
                <w:szCs w:val="20"/>
              </w:rPr>
              <w:t xml:space="preserve">A licensee’s first search is not “who sells NEPRA compliance” — it is “what does NEPRA actually require of me”. The page that answers that question earns the ranking, earns the AI citation, and gets the call. Blocks 04 and 08 of the page are therefore not supporting content; they are the reason the page exists.</w:t>
            </w:r>
          </w:p>
        </w:tc>
      </w:tr>
    </w:tbl>
    <w:p>
      <w:r>
        <w:br w:type="page"/>
      </w:r>
    </w:p>
    <w:p>
      <w:pPr>
        <w:pStyle w:val="Heading1"/>
        <w:spacing w:after="140" w:before="360"/>
      </w:pPr>
      <w:r>
        <w:rPr>
          <w:rFonts w:ascii="Aptos" w:cs="Aptos" w:eastAsia="Aptos" w:hAnsi="Aptos"/>
          <w:b/>
          <w:bCs/>
          <w:color w:val="0A1B3D"/>
          <w:sz w:val="32"/>
          <w:szCs w:val="32"/>
        </w:rPr>
        <w:t xml:space="preserve">3. Target queries</w:t>
      </w:r>
    </w:p>
    <w:tbl>
      <w:tblPr>
        <w:tblW w:type="dxa" w:w="9026"/>
        <w:tblBorders>
          <w:top w:val="single" w:color="F2F5FA" w:sz="2"/>
          <w:left w:val="single" w:color="1F6FEB" w:sz="16"/>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50"/>
              <w:left w:type="dxa" w:w="210"/>
              <w:bottom w:type="dxa" w:w="150"/>
              <w:right w:type="dxa" w:w="210"/>
            </w:tcMar>
          </w:tcPr>
          <w:p>
            <w:r>
              <w:rPr>
                <w:rFonts w:ascii="Aptos" w:cs="Aptos" w:eastAsia="Aptos" w:hAnsi="Aptos"/>
                <w:b/>
                <w:bCs/>
                <w:sz w:val="20"/>
                <w:szCs w:val="20"/>
              </w:rPr>
              <w:t xml:space="preserve">No search volumes are given, deliberately. </w:t>
            </w:r>
            <w:r>
              <w:rPr>
                <w:rFonts w:ascii="Aptos" w:cs="Aptos" w:eastAsia="Aptos" w:hAnsi="Aptos"/>
                <w:sz w:val="20"/>
                <w:szCs w:val="20"/>
              </w:rPr>
              <w:t xml:space="preserve">I have no keyword-tool access, and invented volume figures are worse than none — they get planned against. Priority below is reasoned from buyer intent and from what competitors have left uncovered. If you want real numbers, these terms are cheap to check in Ahrefs or Semrush and worth doing before launch.</w:t>
            </w:r>
          </w:p>
        </w:tc>
      </w:tr>
    </w:tbl>
    <w:p>
      <w:pPr>
        <w:pStyle w:val="Heading2"/>
        <w:spacing w:after="110" w:before="280"/>
      </w:pPr>
      <w:r>
        <w:rPr>
          <w:rFonts w:ascii="Aptos" w:cs="Aptos" w:eastAsia="Aptos" w:hAnsi="Aptos"/>
          <w:b/>
          <w:bCs/>
          <w:color w:val="0A1B3D"/>
          <w:sz w:val="25"/>
          <w:szCs w:val="25"/>
        </w:rPr>
        <w:t xml:space="preserve">Primary — the page must rank for these</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3100"/>
        <w:gridCol w:w="2400"/>
        <w:gridCol w:w="3526"/>
      </w:tblGrid>
      <w:tr>
        <w:trPr>
          <w:tblHeader/>
        </w:trPr>
        <w:tc>
          <w:tcPr>
            <w:tcW w:type="dxa" w:w="31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Query</w:t>
            </w:r>
          </w:p>
        </w:tc>
        <w:tc>
          <w:tcPr>
            <w:tcW w:type="dxa" w:w="24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Intent</w:t>
            </w:r>
          </w:p>
        </w:tc>
        <w:tc>
          <w:tcPr>
            <w:tcW w:type="dxa" w:w="35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Where it lives</w:t>
            </w:r>
          </w:p>
        </w:tc>
      </w:tr>
      <w:tr>
        <w:tc>
          <w:tcPr>
            <w:tcW w:type="dxa" w:w="31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NEPRA compliance audit</w:t>
            </w:r>
          </w:p>
        </w:tc>
        <w:tc>
          <w:tcPr>
            <w:tcW w:type="dxa" w:w="2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Commercial — actively shopping</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H1 region, block 03 card 1, title tag</w:t>
            </w:r>
          </w:p>
        </w:tc>
      </w:tr>
      <w:tr>
        <w:tc>
          <w:tcPr>
            <w:tcW w:type="dxa" w:w="31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NEPRA IT OT compliance</w:t>
            </w:r>
          </w:p>
        </w:tc>
        <w:tc>
          <w:tcPr>
            <w:tcW w:type="dxa" w:w="24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Commercial</w:t>
            </w:r>
          </w:p>
        </w:tc>
        <w:tc>
          <w:tcPr>
            <w:tcW w:type="dxa" w:w="3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H1, URL, title tag, block 02 H2</w:t>
            </w:r>
          </w:p>
        </w:tc>
      </w:tr>
      <w:tr>
        <w:tc>
          <w:tcPr>
            <w:tcW w:type="dxa" w:w="31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NEPRA cyber security regulations 2022</w:t>
            </w:r>
          </w:p>
        </w:tc>
        <w:tc>
          <w:tcPr>
            <w:tcW w:type="dxa" w:w="2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Informational — the biggest pool</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Block 02 H2, block 04, FAQ 2</w:t>
            </w:r>
          </w:p>
        </w:tc>
      </w:tr>
      <w:tr>
        <w:tc>
          <w:tcPr>
            <w:tcW w:type="dxa" w:w="31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NEPRA IT OT regulations</w:t>
            </w:r>
          </w:p>
        </w:tc>
        <w:tc>
          <w:tcPr>
            <w:tcW w:type="dxa" w:w="24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Informational</w:t>
            </w:r>
          </w:p>
        </w:tc>
        <w:tc>
          <w:tcPr>
            <w:tcW w:type="dxa" w:w="3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Block 02, block 04 intro</w:t>
            </w:r>
          </w:p>
        </w:tc>
      </w:tr>
    </w:tbl>
    <w:p>
      <w:pPr>
        <w:spacing w:after="120"/>
      </w:pPr>
      <w:r>
        <w:rPr>
          <w:rFonts w:ascii="Aptos" w:cs="Aptos" w:eastAsia="Aptos" w:hAnsi="Aptos"/>
          <w:sz w:val="21"/>
          <w:szCs w:val="21"/>
        </w:rPr>
        <w:t xml:space="preserve"/>
      </w:r>
    </w:p>
    <w:p>
      <w:pPr>
        <w:pStyle w:val="Heading2"/>
        <w:spacing w:after="110" w:before="280"/>
      </w:pPr>
      <w:r>
        <w:rPr>
          <w:rFonts w:ascii="Aptos" w:cs="Aptos" w:eastAsia="Aptos" w:hAnsi="Aptos"/>
          <w:b/>
          <w:bCs/>
          <w:color w:val="0A1B3D"/>
          <w:sz w:val="25"/>
          <w:szCs w:val="25"/>
        </w:rPr>
        <w:t xml:space="preserve">Secondary — supporting terms</w:t>
      </w:r>
    </w:p>
    <w:p>
      <w:pPr>
        <w:pStyle w:val="ListParagraph"/>
        <w:numPr>
          <w:ilvl w:val="0"/>
          <w:numId w:val="3"/>
        </w:numPr>
        <w:spacing w:after="60" w:line="276"/>
      </w:pPr>
      <w:r>
        <w:rPr>
          <w:rFonts w:ascii="Aptos" w:cs="Aptos" w:eastAsia="Aptos" w:hAnsi="Aptos"/>
          <w:sz w:val="21"/>
          <w:szCs w:val="21"/>
        </w:rPr>
        <w:t xml:space="preserve">NEPRA compliance services · NEPRA compliance consultant · NEPRA compliance checklist</w:t>
      </w:r>
    </w:p>
    <w:p>
      <w:pPr>
        <w:pStyle w:val="ListParagraph"/>
        <w:numPr>
          <w:ilvl w:val="0"/>
          <w:numId w:val="3"/>
        </w:numPr>
        <w:spacing w:after="60" w:line="276"/>
      </w:pPr>
      <w:r>
        <w:rPr>
          <w:rFonts w:ascii="Aptos" w:cs="Aptos" w:eastAsia="Aptos" w:hAnsi="Aptos"/>
          <w:sz w:val="21"/>
          <w:szCs w:val="21"/>
        </w:rPr>
        <w:t xml:space="preserve">power sector cybersecurity Pakistan · grid cybersecurity Pakistan</w:t>
      </w:r>
    </w:p>
    <w:p>
      <w:pPr>
        <w:pStyle w:val="ListParagraph"/>
        <w:numPr>
          <w:ilvl w:val="0"/>
          <w:numId w:val="3"/>
        </w:numPr>
        <w:spacing w:after="60" w:line="276"/>
      </w:pPr>
      <w:r>
        <w:rPr>
          <w:rFonts w:ascii="Aptos" w:cs="Aptos" w:eastAsia="Aptos" w:hAnsi="Aptos"/>
          <w:sz w:val="21"/>
          <w:szCs w:val="21"/>
        </w:rPr>
        <w:t xml:space="preserve">SCADA security audit Pakistan · OT security assessment Pakistan · OT penetration testing Pakistan</w:t>
      </w:r>
    </w:p>
    <w:p>
      <w:pPr>
        <w:pStyle w:val="ListParagraph"/>
        <w:numPr>
          <w:ilvl w:val="0"/>
          <w:numId w:val="3"/>
        </w:numPr>
        <w:spacing w:after="60" w:line="276"/>
      </w:pPr>
      <w:r>
        <w:rPr>
          <w:rFonts w:ascii="Aptos" w:cs="Aptos" w:eastAsia="Aptos" w:hAnsi="Aptos"/>
          <w:sz w:val="21"/>
          <w:szCs w:val="21"/>
        </w:rPr>
        <w:t xml:space="preserve">IEC 62443 Pakistan · ISO 27001 audit Pakistan power sector</w:t>
      </w:r>
    </w:p>
    <w:p>
      <w:pPr>
        <w:pStyle w:val="ListParagraph"/>
        <w:numPr>
          <w:ilvl w:val="0"/>
          <w:numId w:val="3"/>
        </w:numPr>
        <w:spacing w:after="60" w:line="276"/>
      </w:pPr>
      <w:r>
        <w:rPr>
          <w:rFonts w:ascii="Aptos" w:cs="Aptos" w:eastAsia="Aptos" w:hAnsi="Aptos"/>
          <w:sz w:val="21"/>
          <w:szCs w:val="21"/>
        </w:rPr>
        <w:t xml:space="preserve">NEPRA VAPT · NEPRA security policy framework · NEPRA cybersecurity training</w:t>
      </w:r>
    </w:p>
    <w:p>
      <w:pPr>
        <w:pStyle w:val="Heading2"/>
        <w:spacing w:after="110" w:before="280"/>
      </w:pPr>
      <w:r>
        <w:rPr>
          <w:rFonts w:ascii="Aptos" w:cs="Aptos" w:eastAsia="Aptos" w:hAnsi="Aptos"/>
          <w:b/>
          <w:bCs/>
          <w:color w:val="0A1B3D"/>
          <w:sz w:val="25"/>
          <w:szCs w:val="25"/>
        </w:rPr>
        <w:t xml:space="preserve">AEO — conversational queries an LLM will be asked</w:t>
      </w:r>
    </w:p>
    <w:p>
      <w:pPr>
        <w:spacing w:after="120" w:line="276"/>
      </w:pPr>
      <w:r>
        <w:rPr>
          <w:rFonts w:ascii="Aptos" w:cs="Aptos" w:eastAsia="Aptos" w:hAnsi="Aptos"/>
          <w:sz w:val="21"/>
          <w:szCs w:val="21"/>
        </w:rPr>
        <w:t xml:space="preserve">These matter more than the head terms for this audience. A CEO who receives a letter is more likely to ask an assistant “what does NEPRA require of us” than to run a keyword search. Each of these maps to a specific answer capsule or FAQ entry.</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5000"/>
        <w:gridCol w:w="4026"/>
      </w:tblGrid>
      <w:tr>
        <w:trPr>
          <w:tblHeader/>
        </w:trPr>
        <w:tc>
          <w:tcPr>
            <w:tcW w:type="dxa" w:w="50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Question a user asks an assistant</w:t>
            </w:r>
          </w:p>
        </w:tc>
        <w:tc>
          <w:tcPr>
            <w:tcW w:type="dxa" w:w="40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Answered by</w:t>
            </w:r>
          </w:p>
        </w:tc>
      </w:tr>
      <w:tr>
        <w:tc>
          <w:tcPr>
            <w:tcW w:type="dxa" w:w="50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Who has to comply with NEPRA IT/OT regulations?</w:t>
            </w:r>
          </w:p>
        </w:tc>
        <w:tc>
          <w:tcPr>
            <w:tcW w:type="dxa" w:w="4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FAQ 1 + block 02 capsule</w:t>
            </w:r>
          </w:p>
        </w:tc>
      </w:tr>
      <w:tr>
        <w:tc>
          <w:tcPr>
            <w:tcW w:type="dxa" w:w="50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What are the NEPRA cyber security regulations 2022?</w:t>
            </w:r>
          </w:p>
        </w:tc>
        <w:tc>
          <w:tcPr>
            <w:tcW w:type="dxa" w:w="40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FAQ 2 + block 02</w:t>
            </w:r>
          </w:p>
        </w:tc>
      </w:tr>
      <w:tr>
        <w:tc>
          <w:tcPr>
            <w:tcW w:type="dxa" w:w="50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How do I comply with NEPRA IT/OT regulations?</w:t>
            </w:r>
          </w:p>
        </w:tc>
        <w:tc>
          <w:tcPr>
            <w:tcW w:type="dxa" w:w="4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Block 04 coverage table</w:t>
            </w:r>
          </w:p>
        </w:tc>
      </w:tr>
      <w:tr>
        <w:tc>
          <w:tcPr>
            <w:tcW w:type="dxa" w:w="50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What is Regulation 4 / 6 / 10 of the NEPRA regulations?</w:t>
            </w:r>
          </w:p>
        </w:tc>
        <w:tc>
          <w:tcPr>
            <w:tcW w:type="dxa" w:w="40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Block 04 table rows</w:t>
            </w:r>
          </w:p>
        </w:tc>
      </w:tr>
      <w:tr>
        <w:tc>
          <w:tcPr>
            <w:tcW w:type="dxa" w:w="50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How quickly must I report a cyber incident to NEPRA?</w:t>
            </w:r>
          </w:p>
        </w:tc>
        <w:tc>
          <w:tcPr>
            <w:tcW w:type="dxa" w:w="4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FAQ 3 + stat tile</w:t>
            </w:r>
          </w:p>
        </w:tc>
      </w:tr>
      <w:tr>
        <w:tc>
          <w:tcPr>
            <w:tcW w:type="dxa" w:w="50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Does a NEPRA audit disrupt plant operations?</w:t>
            </w:r>
          </w:p>
        </w:tc>
        <w:tc>
          <w:tcPr>
            <w:tcW w:type="dxa" w:w="40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FAQ 4</w:t>
            </w:r>
          </w:p>
        </w:tc>
      </w:tr>
      <w:tr>
        <w:tc>
          <w:tcPr>
            <w:tcW w:type="dxa" w:w="50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How long does a NEPRA compliance audit take?</w:t>
            </w:r>
          </w:p>
        </w:tc>
        <w:tc>
          <w:tcPr>
            <w:tcW w:type="dxa" w:w="4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FAQ 5</w:t>
            </w:r>
          </w:p>
        </w:tc>
      </w:tr>
      <w:tr>
        <w:tc>
          <w:tcPr>
            <w:tcW w:type="dxa" w:w="50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What happens if NEPRA directs a technical audit?</w:t>
            </w:r>
          </w:p>
        </w:tc>
        <w:tc>
          <w:tcPr>
            <w:tcW w:type="dxa" w:w="40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FAQ 6</w:t>
            </w:r>
          </w:p>
        </w:tc>
      </w:tr>
      <w:tr>
        <w:tc>
          <w:tcPr>
            <w:tcW w:type="dxa" w:w="50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Who does NEPRA compliance audits in Pakistan?</w:t>
            </w:r>
          </w:p>
        </w:tc>
        <w:tc>
          <w:tcPr>
            <w:tcW w:type="dxa" w:w="4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Block 07 + Service schema</w:t>
            </w:r>
          </w:p>
        </w:tc>
      </w:tr>
    </w:tbl>
    <w:p>
      <w:r>
        <w:br w:type="page"/>
      </w:r>
    </w:p>
    <w:p>
      <w:pPr>
        <w:pStyle w:val="Heading1"/>
        <w:spacing w:after="140" w:before="360"/>
      </w:pPr>
      <w:r>
        <w:rPr>
          <w:rFonts w:ascii="Aptos" w:cs="Aptos" w:eastAsia="Aptos" w:hAnsi="Aptos"/>
          <w:b/>
          <w:bCs/>
          <w:color w:val="0A1B3D"/>
          <w:sz w:val="32"/>
          <w:szCs w:val="32"/>
        </w:rPr>
        <w:t xml:space="preserve">4. The optimised page content</w:t>
      </w:r>
    </w:p>
    <w:p>
      <w:pPr>
        <w:spacing w:after="120" w:line="276"/>
      </w:pPr>
      <w:r>
        <w:rPr>
          <w:rFonts w:ascii="Aptos" w:cs="Aptos" w:eastAsia="Aptos" w:hAnsi="Aptos"/>
          <w:sz w:val="21"/>
          <w:szCs w:val="21"/>
        </w:rPr>
        <w:t xml:space="preserve">This is the content spec rewritten for search and answer engines. Two changes from the design handoff: every H2 now carries a query term rather than a rhetorical line, and every section opens with a 40–60 word answer capsule written to be lifted whole by an AI assistant.</w:t>
      </w:r>
    </w:p>
    <w:tbl>
      <w:tblPr>
        <w:tblW w:type="dxa" w:w="9026"/>
        <w:tblBorders>
          <w:top w:val="single" w:color="F2F5FA" w:sz="2"/>
          <w:left w:val="single" w:color="1F6FEB" w:sz="16"/>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50"/>
              <w:left w:type="dxa" w:w="210"/>
              <w:bottom w:type="dxa" w:w="150"/>
              <w:right w:type="dxa" w:w="210"/>
            </w:tcMar>
          </w:tcPr>
          <w:p>
            <w:pPr>
              <w:spacing w:after="80"/>
            </w:pPr>
            <w:r>
              <w:rPr>
                <w:rFonts w:ascii="Aptos" w:cs="Aptos" w:eastAsia="Aptos" w:hAnsi="Aptos"/>
                <w:b/>
                <w:bCs/>
                <w:sz w:val="20"/>
                <w:szCs w:val="20"/>
              </w:rPr>
              <w:t xml:space="preserve">What an answer capsule is. </w:t>
            </w:r>
            <w:r>
              <w:rPr>
                <w:rFonts w:ascii="Aptos" w:cs="Aptos" w:eastAsia="Aptos" w:hAnsi="Aptos"/>
                <w:sz w:val="20"/>
                <w:szCs w:val="20"/>
              </w:rPr>
              <w:t xml:space="preserve">A self-contained paragraph, directly under the heading, that answers the heading’s implied question without needing any surrounding context. It names the entity, states the fact, and survives being quoted alone. It is the single highest-leverage AEO technique available, and no competitor is using it.</w:t>
            </w:r>
          </w:p>
          <w:p>
            <w:r>
              <w:rPr>
                <w:rFonts w:ascii="Aptos" w:cs="Aptos" w:eastAsia="Aptos" w:hAnsi="Aptos"/>
                <w:sz w:val="20"/>
                <w:szCs w:val="20"/>
              </w:rPr>
              <w:t xml:space="preserve">Keep every capsule between 40 and 60 words. Longer and it gets truncated; shorter and it lacks the specifics that make it worth citing.</w:t>
            </w:r>
          </w:p>
        </w:tc>
      </w:tr>
    </w:tbl>
    <w:p>
      <w:pPr>
        <w:pStyle w:val="Heading2"/>
        <w:spacing w:after="110" w:before="280"/>
      </w:pPr>
      <w:r>
        <w:rPr>
          <w:rFonts w:ascii="Aptos" w:cs="Aptos" w:eastAsia="Aptos" w:hAnsi="Aptos"/>
          <w:b/>
          <w:bCs/>
          <w:color w:val="0A1B3D"/>
          <w:sz w:val="25"/>
          <w:szCs w:val="25"/>
        </w:rPr>
        <w:t xml:space="preserve">Heading hierarchy</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800"/>
        <w:gridCol w:w="4700"/>
        <w:gridCol w:w="3526"/>
      </w:tblGrid>
      <w:tr>
        <w:trPr>
          <w:tblHeader/>
        </w:trPr>
        <w:tc>
          <w:tcPr>
            <w:tcW w:type="dxa" w:w="8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Level</w:t>
            </w:r>
          </w:p>
        </w:tc>
        <w:tc>
          <w:tcPr>
            <w:tcW w:type="dxa" w:w="47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Heading</w:t>
            </w:r>
          </w:p>
        </w:tc>
        <w:tc>
          <w:tcPr>
            <w:tcW w:type="dxa" w:w="35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Primary term carried</w:t>
            </w:r>
          </w:p>
        </w:tc>
      </w:tr>
      <w:tr>
        <w:tc>
          <w:tcPr>
            <w:tcW w:type="dxa" w:w="8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H1</w:t>
            </w:r>
          </w:p>
        </w:tc>
        <w:tc>
          <w:tcPr>
            <w:tcW w:type="dxa" w:w="47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IT/OT Regulatory Compliance Services</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IT OT compliance</w:t>
            </w:r>
          </w:p>
        </w:tc>
      </w:tr>
      <w:tr>
        <w:tc>
          <w:tcPr>
            <w:tcW w:type="dxa" w:w="8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H2</w:t>
            </w:r>
          </w:p>
        </w:tc>
        <w:tc>
          <w:tcPr>
            <w:tcW w:type="dxa" w:w="47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What the NEPRA IT/OT Regulations 2022 require</w:t>
            </w:r>
          </w:p>
        </w:tc>
        <w:tc>
          <w:tcPr>
            <w:tcW w:type="dxa" w:w="3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 cyber security regulations 2022</w:t>
            </w:r>
          </w:p>
        </w:tc>
      </w:tr>
      <w:tr>
        <w:tc>
          <w:tcPr>
            <w:tcW w:type="dxa" w:w="8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H2</w:t>
            </w:r>
          </w:p>
        </w:tc>
        <w:tc>
          <w:tcPr>
            <w:tcW w:type="dxa" w:w="47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services for power sector licensees</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services</w:t>
            </w:r>
          </w:p>
        </w:tc>
      </w:tr>
      <w:tr>
        <w:tc>
          <w:tcPr>
            <w:tcW w:type="dxa" w:w="8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H2</w:t>
            </w:r>
          </w:p>
        </w:tc>
        <w:tc>
          <w:tcPr>
            <w:tcW w:type="dxa" w:w="47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requirements, Regulation 4 to 11</w:t>
            </w:r>
          </w:p>
        </w:tc>
        <w:tc>
          <w:tcPr>
            <w:tcW w:type="dxa" w:w="3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checklist</w:t>
            </w:r>
          </w:p>
        </w:tc>
      </w:tr>
      <w:tr>
        <w:tc>
          <w:tcPr>
            <w:tcW w:type="dxa" w:w="8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H3 ×4</w:t>
            </w:r>
          </w:p>
        </w:tc>
        <w:tc>
          <w:tcPr>
            <w:tcW w:type="dxa" w:w="47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Audit · VAPT Services · Policy Framework · Cybersecurity Training</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service-level terms</w:t>
            </w:r>
          </w:p>
        </w:tc>
      </w:tr>
      <w:tr>
        <w:tc>
          <w:tcPr>
            <w:tcW w:type="dxa" w:w="8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H2</w:t>
            </w:r>
          </w:p>
        </w:tc>
        <w:tc>
          <w:tcPr>
            <w:tcW w:type="dxa" w:w="47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What a NEPRA compliance audit delivers</w:t>
            </w:r>
          </w:p>
        </w:tc>
        <w:tc>
          <w:tcPr>
            <w:tcW w:type="dxa" w:w="3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audit</w:t>
            </w:r>
          </w:p>
        </w:tc>
      </w:tr>
      <w:tr>
        <w:tc>
          <w:tcPr>
            <w:tcW w:type="dxa" w:w="8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H2</w:t>
            </w:r>
          </w:p>
        </w:tc>
        <w:tc>
          <w:tcPr>
            <w:tcW w:type="dxa" w:w="47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Why licensees choose xLoop for NEPRA compliance</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consultant</w:t>
            </w:r>
          </w:p>
        </w:tc>
      </w:tr>
      <w:tr>
        <w:tc>
          <w:tcPr>
            <w:tcW w:type="dxa" w:w="8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H2</w:t>
            </w:r>
          </w:p>
        </w:tc>
        <w:tc>
          <w:tcPr>
            <w:tcW w:type="dxa" w:w="47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 IT/OT compliance: frequently asked questions</w:t>
            </w:r>
          </w:p>
        </w:tc>
        <w:tc>
          <w:tcPr>
            <w:tcW w:type="dxa" w:w="3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long-tail cluster</w:t>
            </w:r>
          </w:p>
        </w:tc>
      </w:tr>
    </w:tbl>
    <w:p>
      <w:pPr>
        <w:spacing w:after="12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VERIFY  </w:t>
            </w:r>
            <w:r>
              <w:rPr>
                <w:rFonts w:ascii="Aptos" w:cs="Aptos" w:eastAsia="Aptos" w:hAnsi="Aptos"/>
                <w:sz w:val="20"/>
                <w:szCs w:val="20"/>
              </w:rPr>
              <w:t xml:space="preserve">One H1 only. The H2s above replace the more rhetorical headings in the design spec — e.g. “The regulations are already in force” becomes “What the NEPRA IT/OT Regulations 2022 require”. The rhetorical line survives as the opening sentence of the body, so the persuasion is not lost.</w:t>
            </w:r>
          </w:p>
        </w:tc>
      </w:tr>
    </w:tbl>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01</w:t>
      </w:r>
    </w:p>
    <w:p>
      <w:pPr>
        <w:pStyle w:val="Heading2"/>
        <w:spacing w:after="120"/>
      </w:pPr>
      <w:r>
        <w:rPr>
          <w:rFonts w:ascii="Aptos" w:cs="Aptos" w:eastAsia="Aptos" w:hAnsi="Aptos"/>
          <w:b/>
          <w:bCs/>
          <w:color w:val="0A1B3D"/>
          <w:sz w:val="26"/>
          <w:szCs w:val="26"/>
        </w:rPr>
        <w:t xml:space="preserve">Hero</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750"/>
        <w:gridCol w:w="7276"/>
      </w:tblGrid>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EYEBROW</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POWER ⚡ SECURE</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H1</w:t>
            </w:r>
          </w:p>
        </w:tc>
        <w:tc>
          <w:tcPr>
            <w:tcW w:type="dxa" w:w="7276"/>
            <w:tcMar>
              <w:top w:type="dxa" w:w="110"/>
              <w:left w:type="dxa" w:w="150"/>
              <w:bottom w:type="dxa" w:w="110"/>
              <w:right w:type="dxa" w:w="150"/>
            </w:tcMar>
          </w:tcPr>
          <w:p>
            <w:pPr>
              <w:spacing w:after="0" w:line="264"/>
            </w:pPr>
            <w:r>
              <w:rPr>
                <w:rFonts w:ascii="Aptos" w:cs="Aptos" w:eastAsia="Aptos" w:hAnsi="Aptos"/>
                <w:b/>
                <w:bCs/>
                <w:color w:val="0A1B3D"/>
                <w:sz w:val="22"/>
                <w:szCs w:val="22"/>
              </w:rPr>
              <w:t xml:space="preserve">NEPRA IT/OT Regulatory Compliance Services</w:t>
            </w:r>
            <w:r>
              <w:rPr>
                <w:rFonts w:ascii="Aptos" w:cs="Aptos" w:eastAsia="Aptos" w:hAnsi="Aptos"/>
                <w:color w:val="8A94A3"/>
                <w:sz w:val="15"/>
                <w:szCs w:val="15"/>
              </w:rPr>
              <w:t xml:space="preserve">   42 ch</w:t>
            </w:r>
          </w:p>
          <w:p>
            <w:pPr>
              <w:spacing w:before="60"/>
            </w:pPr>
            <w:r>
              <w:rPr>
                <w:rFonts w:ascii="Aptos" w:cs="Aptos" w:eastAsia="Aptos" w:hAnsi="Aptos"/>
                <w:i/>
                <w:iCs/>
                <w:color w:val="5A6472"/>
                <w:sz w:val="17"/>
                <w:szCs w:val="17"/>
              </w:rPr>
              <w:t xml:space="preserve">Unchanged. Already carries the primary term and reads naturally.</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SUBHEAD</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Independent NEPRA compliance audits, VAPT, policy frameworks and training for Pakistan’s power sector — built around the Security of Information Technology &amp; Operational Technology Regulations, 2022.</w:t>
            </w:r>
            <w:r>
              <w:rPr>
                <w:rFonts w:ascii="Aptos" w:cs="Aptos" w:eastAsia="Aptos" w:hAnsi="Aptos"/>
                <w:color w:val="8A94A3"/>
                <w:sz w:val="15"/>
                <w:szCs w:val="15"/>
              </w:rPr>
              <w:t xml:space="preserve">   199 ch</w:t>
            </w:r>
          </w:p>
          <w:p>
            <w:pPr>
              <w:spacing w:before="60"/>
            </w:pPr>
            <w:r>
              <w:rPr>
                <w:rFonts w:ascii="Aptos" w:cs="Aptos" w:eastAsia="Aptos" w:hAnsi="Aptos"/>
                <w:i/>
                <w:iCs/>
                <w:color w:val="5A6472"/>
                <w:sz w:val="17"/>
                <w:szCs w:val="17"/>
              </w:rPr>
              <w:t xml:space="preserve">Revised for search: front-loads the four service terms the page must rank for, which the previous “complete cybersecurity and compliance programme” wording did not.</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BUTTON 1</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Call +92 21 3586 9200</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BUTTON 2</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Email xsecurity@xloopdigital.com</w:t>
            </w:r>
          </w:p>
        </w:tc>
      </w:tr>
    </w:tbl>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02</w:t>
      </w:r>
    </w:p>
    <w:p>
      <w:pPr>
        <w:pStyle w:val="Heading2"/>
        <w:spacing w:after="120"/>
      </w:pPr>
      <w:r>
        <w:rPr>
          <w:rFonts w:ascii="Aptos" w:cs="Aptos" w:eastAsia="Aptos" w:hAnsi="Aptos"/>
          <w:b/>
          <w:bCs/>
          <w:color w:val="0A1B3D"/>
          <w:sz w:val="26"/>
          <w:szCs w:val="26"/>
        </w:rPr>
        <w:t xml:space="preserve">What the NEPRA IT/OT Regulations 2022 require</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750"/>
        <w:gridCol w:w="7276"/>
      </w:tblGrid>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276"/>
            <w:tcMar>
              <w:top w:type="dxa" w:w="110"/>
              <w:left w:type="dxa" w:w="150"/>
              <w:bottom w:type="dxa" w:w="110"/>
              <w:right w:type="dxa" w:w="150"/>
            </w:tcMar>
          </w:tcPr>
          <w:p>
            <w:pPr>
              <w:spacing w:after="0" w:line="264"/>
            </w:pPr>
            <w:r>
              <w:rPr>
                <w:rFonts w:ascii="Aptos" w:cs="Aptos" w:eastAsia="Aptos" w:hAnsi="Aptos"/>
                <w:b/>
                <w:bCs/>
                <w:color w:val="0A1B3D"/>
                <w:sz w:val="22"/>
                <w:szCs w:val="22"/>
              </w:rPr>
              <w:t xml:space="preserve">What the NEPRA IT/OT Regulations 2022 require</w:t>
            </w:r>
            <w:r>
              <w:rPr>
                <w:rFonts w:ascii="Aptos" w:cs="Aptos" w:eastAsia="Aptos" w:hAnsi="Aptos"/>
                <w:color w:val="8A94A3"/>
                <w:sz w:val="15"/>
                <w:szCs w:val="15"/>
              </w:rPr>
              <w:t xml:space="preserve">   45 ch</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ANSWER CAPSULE</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The NEPRA Security of Information Technology &amp; Operational Technology Regulations, 2022 require every licensed power-sector company in Pakistan to secure both its corporate IT and its operational technology. Obligations cover governance, security controls, risk assessment, data integrity, audit support, monitoring, incident response, training and reporting to the Authority.</w:t>
            </w:r>
            <w:r>
              <w:rPr>
                <w:rFonts w:ascii="Aptos" w:cs="Aptos" w:eastAsia="Aptos" w:hAnsi="Aptos"/>
                <w:color w:val="8A94A3"/>
                <w:sz w:val="15"/>
                <w:szCs w:val="15"/>
              </w:rPr>
              <w:t xml:space="preserve">   376 ch</w:t>
            </w:r>
          </w:p>
          <w:p>
            <w:pPr>
              <w:spacing w:before="60"/>
            </w:pPr>
            <w:r>
              <w:rPr>
                <w:rFonts w:ascii="Aptos" w:cs="Aptos" w:eastAsia="Aptos" w:hAnsi="Aptos"/>
                <w:i/>
                <w:iCs/>
                <w:color w:val="5A6472"/>
                <w:sz w:val="17"/>
                <w:szCs w:val="17"/>
              </w:rPr>
              <w:t xml:space="preserve">54 words. This is the paragraph most likely to be quoted by an AI assistant answering “what are the NEPRA IT/OT regulations”.</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BODY ¶1</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They are already in force, and they are not guidance. The regulations apply across generation, transmission and distribution, and they reach the plant floor as well as the corporate network: SCADA, DCS, PLCs, RTUs, IEDs, HMIs, engineering workstations, and the communication links back to ISMO and the national grid.</w:t>
            </w:r>
            <w:r>
              <w:rPr>
                <w:rFonts w:ascii="Aptos" w:cs="Aptos" w:eastAsia="Aptos" w:hAnsi="Aptos"/>
                <w:color w:val="8A94A3"/>
                <w:sz w:val="15"/>
                <w:szCs w:val="15"/>
              </w:rPr>
              <w:t xml:space="preserve">   316 ch</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BODY ¶2</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Three things follow from that. NEPRA can direct a technical audit of your systems and expect evidence. Significant incidents must be reported within 72 hours, with quarterly reporting on top. And responsibility sits with a named cybersecurity lead inside your organisation — not with your OEM, and not with your integrator.</w:t>
            </w:r>
            <w:r>
              <w:rPr>
                <w:rFonts w:ascii="Aptos" w:cs="Aptos" w:eastAsia="Aptos" w:hAnsi="Aptos"/>
                <w:color w:val="8A94A3"/>
                <w:sz w:val="15"/>
                <w:szCs w:val="15"/>
              </w:rPr>
              <w:t xml:space="preserve">   323 ch</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1</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72 hours — to report a significant cyber incident to NEPRA</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2</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Regulations 4–11 — the operative obligations on every licensee</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3</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IT + OT — corporate network and plant floor, both in scope</w:t>
            </w:r>
          </w:p>
        </w:tc>
      </w:tr>
    </w:tbl>
    <w:p>
      <w:pPr>
        <w:spacing w:after="120"/>
      </w:pPr>
      <w:r>
        <w:rPr>
          <w:rFonts w:ascii="Aptos" w:cs="Aptos" w:eastAsia="Aptos" w:hAnsi="Aptos"/>
          <w:sz w:val="21"/>
          <w:szCs w:val="21"/>
        </w:rPr>
        <w:t xml:space="preserve"/>
      </w:r>
    </w:p>
    <w:p>
      <w:pPr>
        <w:spacing w:after="120" w:line="276"/>
      </w:pPr>
      <w:r>
        <w:rPr>
          <w:rFonts w:ascii="Aptos" w:cs="Aptos" w:eastAsia="Aptos" w:hAnsi="Aptos"/>
          <w:b/>
          <w:bCs/>
          <w:sz w:val="21"/>
          <w:szCs w:val="21"/>
        </w:rPr>
        <w:t xml:space="preserve">Entity coverage note. </w:t>
      </w:r>
      <w:r>
        <w:rPr>
          <w:rFonts w:ascii="Aptos" w:cs="Aptos" w:eastAsia="Aptos" w:hAnsi="Aptos"/>
          <w:sz w:val="21"/>
          <w:szCs w:val="21"/>
        </w:rPr>
        <w:t xml:space="preserve">This block is where the page establishes topical authority. It should name, at least once each: NEPRA, PowerCERT, the National CERT, ISMO, SCADA, DCS, PLC, RTU, IED, HMI. Answer engines use entity co-occurrence to decide what a page is genuinely about, and this vocabulary is what separates a real compliance page from a generic security page.</w:t>
      </w:r>
    </w:p>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03</w:t>
      </w:r>
    </w:p>
    <w:p>
      <w:pPr>
        <w:pStyle w:val="Heading2"/>
        <w:spacing w:after="120"/>
      </w:pPr>
      <w:r>
        <w:rPr>
          <w:rFonts w:ascii="Aptos" w:cs="Aptos" w:eastAsia="Aptos" w:hAnsi="Aptos"/>
          <w:b/>
          <w:bCs/>
          <w:color w:val="0A1B3D"/>
          <w:sz w:val="26"/>
          <w:szCs w:val="26"/>
        </w:rPr>
        <w:t xml:space="preserve">NEPRA compliance services for power sector licensees</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750"/>
        <w:gridCol w:w="7276"/>
      </w:tblGrid>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276"/>
            <w:tcMar>
              <w:top w:type="dxa" w:w="110"/>
              <w:left w:type="dxa" w:w="150"/>
              <w:bottom w:type="dxa" w:w="110"/>
              <w:right w:type="dxa" w:w="150"/>
            </w:tcMar>
          </w:tcPr>
          <w:p>
            <w:pPr>
              <w:spacing w:after="0" w:line="264"/>
            </w:pPr>
            <w:r>
              <w:rPr>
                <w:rFonts w:ascii="Aptos" w:cs="Aptos" w:eastAsia="Aptos" w:hAnsi="Aptos"/>
                <w:b/>
                <w:bCs/>
                <w:color w:val="0A1B3D"/>
                <w:sz w:val="22"/>
                <w:szCs w:val="22"/>
              </w:rPr>
              <w:t xml:space="preserve">NEPRA compliance services for power sector licensees</w:t>
            </w:r>
            <w:r>
              <w:rPr>
                <w:rFonts w:ascii="Aptos" w:cs="Aptos" w:eastAsia="Aptos" w:hAnsi="Aptos"/>
                <w:color w:val="8A94A3"/>
                <w:sz w:val="15"/>
                <w:szCs w:val="15"/>
              </w:rPr>
              <w:t xml:space="preserve">   52 ch</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ANSWER CAPSULE</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xLoop delivers four NEPRA compliance services: a clause-by-clause compliance audit against Regulations 4 to 11, IT and OT vulnerability assessment and penetration testing under Regulation 6, security policy and governance frameworks under Regulation 4, and cybersecurity awareness and SCADA operator training under Regulation 10.</w:t>
            </w:r>
            <w:r>
              <w:rPr>
                <w:rFonts w:ascii="Aptos" w:cs="Aptos" w:eastAsia="Aptos" w:hAnsi="Aptos"/>
                <w:color w:val="8A94A3"/>
                <w:sz w:val="15"/>
                <w:szCs w:val="15"/>
              </w:rPr>
              <w:t xml:space="preserve">   329 ch</w:t>
            </w:r>
          </w:p>
          <w:p>
            <w:pPr>
              <w:spacing w:before="60"/>
            </w:pPr>
            <w:r>
              <w:rPr>
                <w:rFonts w:ascii="Aptos" w:cs="Aptos" w:eastAsia="Aptos" w:hAnsi="Aptos"/>
                <w:i/>
                <w:iCs/>
                <w:color w:val="5A6472"/>
                <w:sz w:val="17"/>
                <w:szCs w:val="17"/>
              </w:rPr>
              <w:t xml:space="preserve">46 words. Answers “what NEPRA compliance services are available” in one liftable block.</w:t>
            </w:r>
          </w:p>
        </w:tc>
      </w:tr>
    </w:tbl>
    <w:p>
      <w:pPr>
        <w:spacing w:after="120"/>
      </w:pPr>
      <w:r>
        <w:rPr>
          <w:rFonts w:ascii="Aptos" w:cs="Aptos" w:eastAsia="Aptos" w:hAnsi="Aptos"/>
          <w:sz w:val="21"/>
          <w:szCs w:val="21"/>
        </w:rPr>
        <w:t xml:space="preserve"/>
      </w:r>
    </w:p>
    <w:p>
      <w:pPr>
        <w:spacing w:after="120" w:line="276"/>
      </w:pPr>
      <w:r>
        <w:rPr>
          <w:rFonts w:ascii="Aptos" w:cs="Aptos" w:eastAsia="Aptos" w:hAnsi="Aptos"/>
          <w:sz w:val="21"/>
          <w:szCs w:val="21"/>
        </w:rPr>
        <w:t xml:space="preserve">The four H3 cards keep the copy from the design spec unchanged — it is already specific and keyword-bearing. Only the H3 headings change, to lead with the service term rather than the regulation number:</w:t>
      </w:r>
    </w:p>
    <w:p>
      <w:pPr>
        <w:spacing w:after="60"/>
      </w:pPr>
      <w:r>
        <w:rPr>
          <w:rFonts w:ascii="Aptos" w:cs="Aptos" w:eastAsia="Aptos" w:hAnsi="Aptos"/>
          <w:sz w:val="21"/>
          <w:szCs w:val="21"/>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4400"/>
        <w:gridCol w:w="4626"/>
      </w:tblGrid>
      <w:tr>
        <w:trPr>
          <w:tblHeader/>
        </w:trPr>
        <w:tc>
          <w:tcPr>
            <w:tcW w:type="dxa" w:w="44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Was</w:t>
            </w:r>
          </w:p>
        </w:tc>
        <w:tc>
          <w:tcPr>
            <w:tcW w:type="dxa" w:w="46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Now (H3)</w:t>
            </w:r>
          </w:p>
        </w:tc>
      </w:tr>
      <w:tr>
        <w:tc>
          <w:tcPr>
            <w:tcW w:type="dxa" w:w="44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NEPRA Compliance Audit — Regulations 4–11</w:t>
            </w:r>
          </w:p>
        </w:tc>
        <w:tc>
          <w:tcPr>
            <w:tcW w:type="dxa" w:w="4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Audit (Regulations 4–11)</w:t>
            </w:r>
          </w:p>
        </w:tc>
      </w:tr>
      <w:tr>
        <w:tc>
          <w:tcPr>
            <w:tcW w:type="dxa" w:w="44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VAPT Services — Regulation 6</w:t>
            </w:r>
          </w:p>
        </w:tc>
        <w:tc>
          <w:tcPr>
            <w:tcW w:type="dxa" w:w="4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IT &amp; OT VAPT Services (Regulation 6)</w:t>
            </w:r>
          </w:p>
        </w:tc>
      </w:tr>
      <w:tr>
        <w:tc>
          <w:tcPr>
            <w:tcW w:type="dxa" w:w="44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Policy Framework — Regulation 4</w:t>
            </w:r>
          </w:p>
        </w:tc>
        <w:tc>
          <w:tcPr>
            <w:tcW w:type="dxa" w:w="4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Policy Framework (Regulation 4)</w:t>
            </w:r>
          </w:p>
        </w:tc>
      </w:tr>
      <w:tr>
        <w:tc>
          <w:tcPr>
            <w:tcW w:type="dxa" w:w="44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Cybersecurity Training — Regulation 10</w:t>
            </w:r>
          </w:p>
        </w:tc>
        <w:tc>
          <w:tcPr>
            <w:tcW w:type="dxa" w:w="4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Cybersecurity Awareness &amp; Training (Regulation 10)</w:t>
            </w:r>
          </w:p>
        </w:tc>
      </w:tr>
    </w:tbl>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04</w:t>
      </w:r>
    </w:p>
    <w:p>
      <w:pPr>
        <w:pStyle w:val="Heading2"/>
        <w:spacing w:after="120"/>
      </w:pPr>
      <w:r>
        <w:rPr>
          <w:rFonts w:ascii="Aptos" w:cs="Aptos" w:eastAsia="Aptos" w:hAnsi="Aptos"/>
          <w:b/>
          <w:bCs/>
          <w:color w:val="0A1B3D"/>
          <w:sz w:val="26"/>
          <w:szCs w:val="26"/>
        </w:rPr>
        <w:t xml:space="preserve">NEPRA compliance requirements, Regulation 4 to 11</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750"/>
        <w:gridCol w:w="7276"/>
      </w:tblGrid>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276"/>
            <w:tcMar>
              <w:top w:type="dxa" w:w="110"/>
              <w:left w:type="dxa" w:w="150"/>
              <w:bottom w:type="dxa" w:w="110"/>
              <w:right w:type="dxa" w:w="150"/>
            </w:tcMar>
          </w:tcPr>
          <w:p>
            <w:pPr>
              <w:spacing w:after="0" w:line="264"/>
            </w:pPr>
            <w:r>
              <w:rPr>
                <w:rFonts w:ascii="Aptos" w:cs="Aptos" w:eastAsia="Aptos" w:hAnsi="Aptos"/>
                <w:b/>
                <w:bCs/>
                <w:color w:val="0A1B3D"/>
                <w:sz w:val="22"/>
                <w:szCs w:val="22"/>
              </w:rPr>
              <w:t xml:space="preserve">NEPRA compliance requirements, Regulation 4 to 11</w:t>
            </w:r>
            <w:r>
              <w:rPr>
                <w:rFonts w:ascii="Aptos" w:cs="Aptos" w:eastAsia="Aptos" w:hAnsi="Aptos"/>
                <w:color w:val="8A94A3"/>
                <w:sz w:val="15"/>
                <w:szCs w:val="15"/>
              </w:rPr>
              <w:t xml:space="preserve">   49 ch</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ANSWER CAPSULE</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The operative NEPRA obligations run from Regulation 4 to Regulation 11: security policy and governance, security controls implementation, risk and vulnerability assessment, data integrity and confidentiality, authority-mandated audit support, monitoring and incident response, awareness and training, and regulatory reporting. Regulations 1 to 3 cover title, commencement and definitions.</w:t>
            </w:r>
            <w:r>
              <w:rPr>
                <w:rFonts w:ascii="Aptos" w:cs="Aptos" w:eastAsia="Aptos" w:hAnsi="Aptos"/>
                <w:color w:val="8A94A3"/>
                <w:sz w:val="15"/>
                <w:szCs w:val="15"/>
              </w:rPr>
              <w:t xml:space="preserve">   388 ch</w:t>
            </w:r>
          </w:p>
          <w:p>
            <w:pPr>
              <w:spacing w:before="60"/>
            </w:pPr>
            <w:r>
              <w:rPr>
                <w:rFonts w:ascii="Aptos" w:cs="Aptos" w:eastAsia="Aptos" w:hAnsi="Aptos"/>
                <w:i/>
                <w:iCs/>
                <w:color w:val="5A6472"/>
                <w:sz w:val="17"/>
                <w:szCs w:val="17"/>
              </w:rPr>
              <w:t xml:space="preserve">50 words. This is the highest-value capsule on the page — it is the direct answer to “what does NEPRA require”, and no competitor has published it.</w:t>
            </w:r>
          </w:p>
        </w:tc>
      </w:tr>
    </w:tbl>
    <w:p>
      <w:pPr>
        <w:spacing w:after="120"/>
      </w:pPr>
      <w:r>
        <w:rPr>
          <w:rFonts w:ascii="Aptos" w:cs="Aptos" w:eastAsia="Aptos" w:hAnsi="Aptos"/>
          <w:sz w:val="21"/>
          <w:szCs w:val="21"/>
        </w:rPr>
        <w:t xml:space="preserve"/>
      </w:r>
    </w:p>
    <w:p>
      <w:pPr>
        <w:spacing w:after="120" w:line="276"/>
      </w:pPr>
      <w:r>
        <w:rPr>
          <w:rFonts w:ascii="Aptos" w:cs="Aptos" w:eastAsia="Aptos" w:hAnsi="Aptos"/>
          <w:sz w:val="21"/>
          <w:szCs w:val="21"/>
        </w:rPr>
        <w:t xml:space="preserve">The table itself is unchanged from the design spec. Three SEO requirements attach to it:</w:t>
      </w:r>
    </w:p>
    <w:p>
      <w:pPr>
        <w:pStyle w:val="ListParagraph"/>
        <w:numPr>
          <w:ilvl w:val="0"/>
          <w:numId w:val="3"/>
        </w:numPr>
        <w:spacing w:after="60" w:line="276"/>
      </w:pPr>
      <w:r>
        <w:rPr>
          <w:rFonts w:ascii="Aptos" w:cs="Aptos" w:eastAsia="Aptos" w:hAnsi="Aptos"/>
          <w:sz w:val="21"/>
          <w:szCs w:val="21"/>
        </w:rPr>
        <w:t xml:space="preserve">A real </w:t>
      </w:r>
      <w:r>
        <w:rPr>
          <w:rFonts w:ascii="Consolas" w:cs="Consolas" w:eastAsia="Consolas" w:hAnsi="Consolas"/>
          <w:sz w:val="17"/>
          <w:szCs w:val="17"/>
        </w:rPr>
        <w:t xml:space="preserve">&lt;table&gt;</w:t>
      </w:r>
      <w:r>
        <w:rPr>
          <w:rFonts w:ascii="Aptos" w:cs="Aptos" w:eastAsia="Aptos" w:hAnsi="Aptos"/>
          <w:sz w:val="21"/>
          <w:szCs w:val="21"/>
        </w:rPr>
        <w:t xml:space="preserve"> with a </w:t>
      </w:r>
      <w:r>
        <w:rPr>
          <w:rFonts w:ascii="Consolas" w:cs="Consolas" w:eastAsia="Consolas" w:hAnsi="Consolas"/>
          <w:sz w:val="17"/>
          <w:szCs w:val="17"/>
        </w:rPr>
        <w:t xml:space="preserve">&lt;caption&gt;</w:t>
      </w:r>
      <w:r>
        <w:rPr>
          <w:rFonts w:ascii="Aptos" w:cs="Aptos" w:eastAsia="Aptos" w:hAnsi="Aptos"/>
          <w:sz w:val="21"/>
          <w:szCs w:val="21"/>
        </w:rPr>
        <w:t xml:space="preserve"> reading “NEPRA IT/OT compliance requirements by regulation”. The caption is read by assistants and by screen readers, and costs nothing visually if styled as the section intro.</w:t>
      </w:r>
    </w:p>
    <w:p>
      <w:pPr>
        <w:pStyle w:val="ListParagraph"/>
        <w:numPr>
          <w:ilvl w:val="0"/>
          <w:numId w:val="3"/>
        </w:numPr>
        <w:spacing w:after="60" w:line="276"/>
      </w:pPr>
      <w:r>
        <w:rPr>
          <w:rFonts w:ascii="Aptos" w:cs="Aptos" w:eastAsia="Aptos" w:hAnsi="Aptos"/>
          <w:sz w:val="21"/>
          <w:szCs w:val="21"/>
        </w:rPr>
        <w:t xml:space="preserve">Each regulation number in the first cell as </w:t>
      </w:r>
      <w:r>
        <w:rPr>
          <w:rFonts w:ascii="Consolas" w:cs="Consolas" w:eastAsia="Consolas" w:hAnsi="Consolas"/>
          <w:sz w:val="17"/>
          <w:szCs w:val="17"/>
        </w:rPr>
        <w:t xml:space="preserve">&lt;th scope="row"&gt;</w:t>
      </w:r>
      <w:r>
        <w:rPr>
          <w:rFonts w:ascii="Aptos" w:cs="Aptos" w:eastAsia="Aptos" w:hAnsi="Aptos"/>
          <w:sz w:val="21"/>
          <w:szCs w:val="21"/>
        </w:rPr>
        <w:t xml:space="preserve">. This is what lets an assistant answer “what is Regulation 6” by pulling one row rather than the whole table.</w:t>
      </w:r>
    </w:p>
    <w:p>
      <w:pPr>
        <w:pStyle w:val="ListParagraph"/>
        <w:numPr>
          <w:ilvl w:val="0"/>
          <w:numId w:val="3"/>
        </w:numPr>
        <w:spacing w:after="60" w:line="276"/>
      </w:pPr>
      <w:r>
        <w:rPr>
          <w:rFonts w:ascii="Aptos" w:cs="Aptos" w:eastAsia="Aptos" w:hAnsi="Aptos"/>
          <w:sz w:val="21"/>
          <w:szCs w:val="21"/>
        </w:rPr>
        <w:t xml:space="preserve">No images, no canvas, no divs pretending to be a table. If it cannot be selected as text it does not exist.</w:t>
      </w:r>
    </w:p>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05</w:t>
      </w:r>
    </w:p>
    <w:p>
      <w:pPr>
        <w:pStyle w:val="Heading2"/>
        <w:spacing w:after="120"/>
      </w:pPr>
      <w:r>
        <w:rPr>
          <w:rFonts w:ascii="Aptos" w:cs="Aptos" w:eastAsia="Aptos" w:hAnsi="Aptos"/>
          <w:b/>
          <w:bCs/>
          <w:color w:val="0A1B3D"/>
          <w:sz w:val="26"/>
          <w:szCs w:val="26"/>
        </w:rPr>
        <w:t xml:space="preserve">Mid-page CTA</w:t>
      </w:r>
    </w:p>
    <w:p>
      <w:pPr>
        <w:spacing w:after="120" w:line="276"/>
      </w:pPr>
      <w:r>
        <w:rPr>
          <w:rFonts w:ascii="Aptos" w:cs="Aptos" w:eastAsia="Aptos" w:hAnsi="Aptos"/>
          <w:sz w:val="21"/>
          <w:szCs w:val="21"/>
        </w:rPr>
        <w:t xml:space="preserve">No SEO change. Keep as specified. Do not add a heading to it — a CTA strip with an H2 dilutes the heading hierarchy for no gain.</w:t>
      </w:r>
    </w:p>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06</w:t>
      </w:r>
    </w:p>
    <w:p>
      <w:pPr>
        <w:pStyle w:val="Heading2"/>
        <w:spacing w:after="120"/>
      </w:pPr>
      <w:r>
        <w:rPr>
          <w:rFonts w:ascii="Aptos" w:cs="Aptos" w:eastAsia="Aptos" w:hAnsi="Aptos"/>
          <w:b/>
          <w:bCs/>
          <w:color w:val="0A1B3D"/>
          <w:sz w:val="26"/>
          <w:szCs w:val="26"/>
        </w:rPr>
        <w:t xml:space="preserve">What a NEPRA compliance audit delivers</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750"/>
        <w:gridCol w:w="7276"/>
      </w:tblGrid>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276"/>
            <w:tcMar>
              <w:top w:type="dxa" w:w="110"/>
              <w:left w:type="dxa" w:w="150"/>
              <w:bottom w:type="dxa" w:w="110"/>
              <w:right w:type="dxa" w:w="150"/>
            </w:tcMar>
          </w:tcPr>
          <w:p>
            <w:pPr>
              <w:spacing w:after="0" w:line="264"/>
            </w:pPr>
            <w:r>
              <w:rPr>
                <w:rFonts w:ascii="Aptos" w:cs="Aptos" w:eastAsia="Aptos" w:hAnsi="Aptos"/>
                <w:b/>
                <w:bCs/>
                <w:color w:val="0A1B3D"/>
                <w:sz w:val="22"/>
                <w:szCs w:val="22"/>
              </w:rPr>
              <w:t xml:space="preserve">What a NEPRA compliance audit delivers</w:t>
            </w:r>
            <w:r>
              <w:rPr>
                <w:rFonts w:ascii="Aptos" w:cs="Aptos" w:eastAsia="Aptos" w:hAnsi="Aptos"/>
                <w:color w:val="8A94A3"/>
                <w:sz w:val="15"/>
                <w:szCs w:val="15"/>
              </w:rPr>
              <w:t xml:space="preserve">   38 ch</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ANSWER CAPSULE</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A NEPRA compliance audit should produce six documents: a compliance report scored clause by clause against Regulations 4 to 11, a risk and gap analysis, a VAPT report covering IT and OT, a Statement of Applicability, a prioritised remediation roadmap, and a closing presentation for management.</w:t>
            </w:r>
            <w:r>
              <w:rPr>
                <w:rFonts w:ascii="Aptos" w:cs="Aptos" w:eastAsia="Aptos" w:hAnsi="Aptos"/>
                <w:color w:val="8A94A3"/>
                <w:sz w:val="15"/>
                <w:szCs w:val="15"/>
              </w:rPr>
              <w:t xml:space="preserve">   294 ch</w:t>
            </w:r>
          </w:p>
          <w:p>
            <w:pPr>
              <w:spacing w:before="60"/>
            </w:pPr>
            <w:r>
              <w:rPr>
                <w:rFonts w:ascii="Aptos" w:cs="Aptos" w:eastAsia="Aptos" w:hAnsi="Aptos"/>
                <w:i/>
                <w:iCs/>
                <w:color w:val="5A6472"/>
                <w:sz w:val="17"/>
                <w:szCs w:val="17"/>
              </w:rPr>
              <w:t xml:space="preserve">46 words. Targets “NEPRA compliance audit deliverables” and “NEPRA compliance report”, and is written generically enough to be cited as a definition of the category rather than as an advert.</w:t>
            </w:r>
          </w:p>
        </w:tc>
      </w:tr>
    </w:tbl>
    <w:p>
      <w:pPr>
        <w:spacing w:after="120"/>
      </w:pPr>
      <w:r>
        <w:rPr>
          <w:rFonts w:ascii="Aptos" w:cs="Aptos" w:eastAsia="Aptos" w:hAnsi="Aptos"/>
          <w:sz w:val="21"/>
          <w:szCs w:val="21"/>
        </w:rPr>
        <w:t xml:space="preserve"/>
      </w:r>
    </w:p>
    <w:tbl>
      <w:tblPr>
        <w:tblW w:type="dxa" w:w="9026"/>
        <w:tblBorders>
          <w:top w:val="single" w:color="F2F5FA" w:sz="2"/>
          <w:left w:val="single" w:color="1F6FEB" w:sz="16"/>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50"/>
              <w:left w:type="dxa" w:w="210"/>
              <w:bottom w:type="dxa" w:w="150"/>
              <w:right w:type="dxa" w:w="210"/>
            </w:tcMar>
          </w:tcPr>
          <w:p>
            <w:r>
              <w:rPr>
                <w:rFonts w:ascii="Aptos" w:cs="Aptos" w:eastAsia="Aptos" w:hAnsi="Aptos"/>
                <w:b/>
                <w:bCs/>
                <w:sz w:val="20"/>
                <w:szCs w:val="20"/>
              </w:rPr>
              <w:t xml:space="preserve">Why that capsule is written impersonally. </w:t>
            </w:r>
            <w:r>
              <w:rPr>
                <w:rFonts w:ascii="Aptos" w:cs="Aptos" w:eastAsia="Aptos" w:hAnsi="Aptos"/>
                <w:sz w:val="20"/>
                <w:szCs w:val="20"/>
              </w:rPr>
              <w:t xml:space="preserve">“A NEPRA compliance audit should produce…” gets cited by assistants answering a category question. “We produce…” does not — it reads as marketing and gets skipped. The brand attribution happens in the surrounding block and in the schema; the capsule itself should read like reference material.</w:t>
            </w:r>
          </w:p>
        </w:tc>
      </w:tr>
    </w:tbl>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07</w:t>
      </w:r>
    </w:p>
    <w:p>
      <w:pPr>
        <w:pStyle w:val="Heading2"/>
        <w:spacing w:after="120"/>
      </w:pPr>
      <w:r>
        <w:rPr>
          <w:rFonts w:ascii="Aptos" w:cs="Aptos" w:eastAsia="Aptos" w:hAnsi="Aptos"/>
          <w:b/>
          <w:bCs/>
          <w:color w:val="0A1B3D"/>
          <w:sz w:val="26"/>
          <w:szCs w:val="26"/>
        </w:rPr>
        <w:t xml:space="preserve">Why licensees choose xLoop for NEPRA compliance</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750"/>
        <w:gridCol w:w="7276"/>
      </w:tblGrid>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276"/>
            <w:tcMar>
              <w:top w:type="dxa" w:w="110"/>
              <w:left w:type="dxa" w:w="150"/>
              <w:bottom w:type="dxa" w:w="110"/>
              <w:right w:type="dxa" w:w="150"/>
            </w:tcMar>
          </w:tcPr>
          <w:p>
            <w:pPr>
              <w:spacing w:after="0" w:line="264"/>
            </w:pPr>
            <w:r>
              <w:rPr>
                <w:rFonts w:ascii="Aptos" w:cs="Aptos" w:eastAsia="Aptos" w:hAnsi="Aptos"/>
                <w:b/>
                <w:bCs/>
                <w:color w:val="0A1B3D"/>
                <w:sz w:val="22"/>
                <w:szCs w:val="22"/>
              </w:rPr>
              <w:t xml:space="preserve">Why licensees choose xLoop for NEPRA compliance</w:t>
            </w:r>
            <w:r>
              <w:rPr>
                <w:rFonts w:ascii="Aptos" w:cs="Aptos" w:eastAsia="Aptos" w:hAnsi="Aptos"/>
                <w:color w:val="8A94A3"/>
                <w:sz w:val="15"/>
                <w:szCs w:val="15"/>
              </w:rPr>
              <w:t xml:space="preserve">   47 ch</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ANSWER CAPSULE</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xLoop Digital’s NEPRA audits are led by certified ISO 27001 and ISO 42001 Lead Auditors, and the practice has delivered a full IT and OT compliance audit for a live 30 MW wind IPP across a head office and two plant sites. The security practice is based in Karachi.</w:t>
            </w:r>
            <w:r>
              <w:rPr>
                <w:rFonts w:ascii="Aptos" w:cs="Aptos" w:eastAsia="Aptos" w:hAnsi="Aptos"/>
                <w:color w:val="8A94A3"/>
                <w:sz w:val="15"/>
                <w:szCs w:val="15"/>
              </w:rPr>
              <w:t xml:space="preserve">   264 ch</w:t>
            </w:r>
          </w:p>
          <w:p>
            <w:pPr>
              <w:spacing w:before="60"/>
            </w:pPr>
            <w:r>
              <w:rPr>
                <w:rFonts w:ascii="Aptos" w:cs="Aptos" w:eastAsia="Aptos" w:hAnsi="Aptos"/>
                <w:i/>
                <w:iCs/>
                <w:color w:val="5A6472"/>
                <w:sz w:val="17"/>
                <w:szCs w:val="17"/>
              </w:rPr>
              <w:t xml:space="preserve">48 words. Constrained by the approved-claims list — do not strengthen. See the copy deck, section 4.6.</w:t>
            </w:r>
          </w:p>
        </w:tc>
      </w:tr>
    </w:tbl>
    <w:p>
      <w:pPr>
        <w:spacing w:after="12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VERIFY  </w:t>
            </w:r>
            <w:r>
              <w:rPr>
                <w:rFonts w:ascii="Aptos" w:cs="Aptos" w:eastAsia="Aptos" w:hAnsi="Aptos"/>
                <w:sz w:val="20"/>
                <w:szCs w:val="20"/>
              </w:rPr>
              <w:t xml:space="preserve">This capsule is the one most exposed to the Category-1 question in section 1. If a CERT-recognised firm turns out to be required, this block and the H1 both change.</w:t>
            </w:r>
          </w:p>
        </w:tc>
      </w:tr>
    </w:tbl>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08</w:t>
      </w:r>
    </w:p>
    <w:p>
      <w:pPr>
        <w:pStyle w:val="Heading2"/>
        <w:spacing w:after="120"/>
      </w:pPr>
      <w:r>
        <w:rPr>
          <w:rFonts w:ascii="Aptos" w:cs="Aptos" w:eastAsia="Aptos" w:hAnsi="Aptos"/>
          <w:b/>
          <w:bCs/>
          <w:color w:val="0A1B3D"/>
          <w:sz w:val="26"/>
          <w:szCs w:val="26"/>
        </w:rPr>
        <w:t xml:space="preserve">NEPRA IT/OT compliance: frequently asked questions</w:t>
      </w:r>
    </w:p>
    <w:p>
      <w:pPr>
        <w:spacing w:after="120" w:line="276"/>
      </w:pPr>
      <w:r>
        <w:rPr>
          <w:rFonts w:ascii="Aptos" w:cs="Aptos" w:eastAsia="Aptos" w:hAnsi="Aptos"/>
          <w:sz w:val="21"/>
          <w:szCs w:val="21"/>
        </w:rPr>
        <w:t xml:space="preserve">The six questions and answers are unchanged from the design spec — they were already written as standalone answers. What changes is the markup and two headings.</w:t>
      </w:r>
    </w:p>
    <w:p>
      <w:pPr>
        <w:spacing w:after="60"/>
      </w:pPr>
      <w:r>
        <w:rPr>
          <w:rFonts w:ascii="Aptos" w:cs="Aptos" w:eastAsia="Aptos" w:hAnsi="Aptos"/>
          <w:sz w:val="21"/>
          <w:szCs w:val="21"/>
        </w:rPr>
        <w:t xml:space="preserve"/>
      </w:r>
    </w:p>
    <w:p>
      <w:pPr>
        <w:pStyle w:val="ListParagraph"/>
        <w:numPr>
          <w:ilvl w:val="0"/>
          <w:numId w:val="3"/>
        </w:numPr>
        <w:spacing w:after="60" w:line="276"/>
      </w:pPr>
      <w:r>
        <w:rPr>
          <w:rFonts w:ascii="Aptos" w:cs="Aptos" w:eastAsia="Aptos" w:hAnsi="Aptos"/>
          <w:sz w:val="21"/>
          <w:szCs w:val="21"/>
        </w:rPr>
        <w:t xml:space="preserve">Each question is an </w:t>
      </w:r>
      <w:r>
        <w:rPr>
          <w:rFonts w:ascii="Consolas" w:cs="Consolas" w:eastAsia="Consolas" w:hAnsi="Consolas"/>
          <w:sz w:val="17"/>
          <w:szCs w:val="17"/>
        </w:rPr>
        <w:t xml:space="preserve">&lt;h3&gt;</w:t>
      </w:r>
      <w:r>
        <w:rPr>
          <w:rFonts w:ascii="Aptos" w:cs="Aptos" w:eastAsia="Aptos" w:hAnsi="Aptos"/>
          <w:sz w:val="21"/>
          <w:szCs w:val="21"/>
        </w:rPr>
        <w:t xml:space="preserve">, phrased exactly as a user would ask it. Not “Eligibility” — “Who has to comply with NEPRA’s IT/OT security regulations?”</w:t>
      </w:r>
    </w:p>
    <w:p>
      <w:pPr>
        <w:pStyle w:val="ListParagraph"/>
        <w:numPr>
          <w:ilvl w:val="0"/>
          <w:numId w:val="3"/>
        </w:numPr>
        <w:spacing w:after="60" w:line="276"/>
      </w:pPr>
      <w:r>
        <w:rPr>
          <w:rFonts w:ascii="Aptos" w:cs="Aptos" w:eastAsia="Aptos" w:hAnsi="Aptos"/>
          <w:sz w:val="21"/>
          <w:szCs w:val="21"/>
        </w:rPr>
        <w:t xml:space="preserve">Each answer opens with the direct answer, then qualifies. Never “It depends…” first.</w:t>
      </w:r>
    </w:p>
    <w:p>
      <w:pPr>
        <w:pStyle w:val="ListParagraph"/>
        <w:numPr>
          <w:ilvl w:val="0"/>
          <w:numId w:val="3"/>
        </w:numPr>
        <w:spacing w:after="60" w:line="276"/>
      </w:pPr>
      <w:r>
        <w:rPr>
          <w:rFonts w:ascii="Aptos" w:cs="Aptos" w:eastAsia="Aptos" w:hAnsi="Aptos"/>
          <w:b/>
          <w:bCs/>
          <w:sz w:val="21"/>
          <w:szCs w:val="21"/>
        </w:rPr>
        <w:t xml:space="preserve">Answers present in the page source. </w:t>
      </w:r>
      <w:r>
        <w:rPr>
          <w:rFonts w:ascii="Aptos" w:cs="Aptos" w:eastAsia="Aptos" w:hAnsi="Aptos"/>
          <w:sz w:val="21"/>
          <w:szCs w:val="21"/>
        </w:rPr>
        <w:t xml:space="preserve">An accordion is fine; content fetched on click is not.</w:t>
      </w:r>
    </w:p>
    <w:p>
      <w:pPr>
        <w:pStyle w:val="ListParagraph"/>
        <w:numPr>
          <w:ilvl w:val="0"/>
          <w:numId w:val="3"/>
        </w:numPr>
        <w:spacing w:after="60" w:line="276"/>
      </w:pPr>
      <w:r>
        <w:rPr>
          <w:rFonts w:ascii="Aptos" w:cs="Aptos" w:eastAsia="Aptos" w:hAnsi="Aptos"/>
          <w:sz w:val="21"/>
          <w:szCs w:val="21"/>
        </w:rPr>
        <w:t xml:space="preserve">FAQPage schema, matching the visible text verbatim. Mismatched schema is a manual-action risk, not just a wasted opportunity.</w:t>
      </w:r>
    </w:p>
    <w:p>
      <w:pPr>
        <w:pBdr>
          <w:top w:val="single" w:color="1F6FEB" w:sz="12"/>
        </w:pBdr>
        <w:spacing w:after="40" w:before="40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09</w:t>
      </w:r>
    </w:p>
    <w:p>
      <w:pPr>
        <w:pStyle w:val="Heading2"/>
        <w:spacing w:after="120"/>
      </w:pPr>
      <w:r>
        <w:rPr>
          <w:rFonts w:ascii="Aptos" w:cs="Aptos" w:eastAsia="Aptos" w:hAnsi="Aptos"/>
          <w:b/>
          <w:bCs/>
          <w:color w:val="0A1B3D"/>
          <w:sz w:val="26"/>
          <w:szCs w:val="26"/>
        </w:rPr>
        <w:t xml:space="preserve">Closing CTA</w:t>
      </w:r>
    </w:p>
    <w:p>
      <w:pPr>
        <w:spacing w:after="120" w:line="276"/>
      </w:pPr>
      <w:r>
        <w:rPr>
          <w:rFonts w:ascii="Aptos" w:cs="Aptos" w:eastAsia="Aptos" w:hAnsi="Aptos"/>
          <w:sz w:val="21"/>
          <w:szCs w:val="21"/>
        </w:rPr>
        <w:t xml:space="preserve">No SEO change. The heading “Secure your assets. Protect the grid.” carries no query term and should not be made to — it is the emotional close, and the page has already earned its rankings above.</w:t>
      </w:r>
    </w:p>
    <w:p>
      <w:r>
        <w:br w:type="page"/>
      </w:r>
    </w:p>
    <w:p>
      <w:pPr>
        <w:pStyle w:val="Heading1"/>
        <w:spacing w:after="140" w:before="360"/>
      </w:pPr>
      <w:r>
        <w:rPr>
          <w:rFonts w:ascii="Aptos" w:cs="Aptos" w:eastAsia="Aptos" w:hAnsi="Aptos"/>
          <w:b/>
          <w:bCs/>
          <w:color w:val="0A1B3D"/>
          <w:sz w:val="32"/>
          <w:szCs w:val="32"/>
        </w:rPr>
        <w:t xml:space="preserve">5. Metadata</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750"/>
        <w:gridCol w:w="7276"/>
      </w:tblGrid>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URL</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https://www.xloopdigital.com/services/nepra-it-ot-compliance</w:t>
            </w:r>
          </w:p>
          <w:p>
            <w:pPr>
              <w:spacing w:before="60"/>
            </w:pPr>
            <w:r>
              <w:rPr>
                <w:rFonts w:ascii="Aptos" w:cs="Aptos" w:eastAsia="Aptos" w:hAnsi="Aptos"/>
                <w:i/>
                <w:iCs/>
                <w:color w:val="5A6472"/>
                <w:sz w:val="17"/>
                <w:szCs w:val="17"/>
              </w:rPr>
              <w:t xml:space="preserve">Matches the existing /services/ pattern. Hyphens, lowercase, no date, no year — the page must survive the regulations being amended.</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TITLE TAG</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NEPRA Compliance Audit &amp; IT/OT Services Pakistan | xLoop</w:t>
            </w:r>
            <w:r>
              <w:rPr>
                <w:rFonts w:ascii="Aptos" w:cs="Aptos" w:eastAsia="Aptos" w:hAnsi="Aptos"/>
                <w:color w:val="8A94A3"/>
                <w:sz w:val="15"/>
                <w:szCs w:val="15"/>
              </w:rPr>
              <w:t xml:space="preserve">   56 ch</w:t>
            </w:r>
          </w:p>
          <w:p>
            <w:pPr>
              <w:spacing w:before="60"/>
            </w:pPr>
            <w:r>
              <w:rPr>
                <w:rFonts w:ascii="Aptos" w:cs="Aptos" w:eastAsia="Aptos" w:hAnsi="Aptos"/>
                <w:i/>
                <w:iCs/>
                <w:color w:val="5A6472"/>
                <w:sz w:val="17"/>
                <w:szCs w:val="17"/>
              </w:rPr>
              <w:t xml:space="preserve">Leads with the commercial term. Under 60 characters so it will not truncate.</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META DESC</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Independent NEPRA IT/OT compliance audits for Pakistan’s power sector — clause-by-clause assessment against Regulations 4–11, VAPT, policy frameworks and training.</w:t>
            </w:r>
            <w:r>
              <w:rPr>
                <w:rFonts w:ascii="Aptos" w:cs="Aptos" w:eastAsia="Aptos" w:hAnsi="Aptos"/>
                <w:color w:val="8A94A3"/>
                <w:sz w:val="15"/>
                <w:szCs w:val="15"/>
              </w:rPr>
              <w:t xml:space="preserve">   163 ch</w:t>
            </w:r>
          </w:p>
          <w:p>
            <w:pPr>
              <w:spacing w:before="60"/>
            </w:pPr>
            <w:r>
              <w:rPr>
                <w:rFonts w:ascii="Aptos" w:cs="Aptos" w:eastAsia="Aptos" w:hAnsi="Aptos"/>
                <w:i/>
                <w:iCs/>
                <w:color w:val="5A6472"/>
                <w:sz w:val="17"/>
                <w:szCs w:val="17"/>
              </w:rPr>
              <w:t xml:space="preserve">Target 150–160 characters. Not a ranking factor, but it is the click decision.</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H1</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NEPRA IT/OT Regulatory Compliance Services</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CANONICAL</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Self-referencing, to the URL above.</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OG:TITLE</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NEPRA IT/OT Regulatory Compliance Services</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OG:DESC</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Audit, VAPT, policy and training for NEPRA licensees under the Security of IT &amp; OT Regulations, 2022.</w:t>
            </w:r>
          </w:p>
        </w:tc>
      </w:tr>
      <w:tr>
        <w:tc>
          <w:tcPr>
            <w:tcW w:type="dxa" w:w="17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OG:IMAGE</w:t>
            </w:r>
          </w:p>
        </w:tc>
        <w:tc>
          <w:tcPr>
            <w:tcW w:type="dxa" w:w="7276"/>
            <w:tcMar>
              <w:top w:type="dxa" w:w="110"/>
              <w:left w:type="dxa" w:w="150"/>
              <w:bottom w:type="dxa" w:w="110"/>
              <w:right w:type="dxa" w:w="150"/>
            </w:tcMar>
          </w:tcPr>
          <w:p>
            <w:pPr>
              <w:spacing w:after="0" w:line="264"/>
            </w:pPr>
            <w:r>
              <w:rPr>
                <w:rFonts w:ascii="Aptos" w:cs="Aptos" w:eastAsia="Aptos" w:hAnsi="Aptos"/>
                <w:sz w:val="20"/>
                <w:szCs w:val="20"/>
              </w:rPr>
              <w:t xml:space="preserve">Purpose-built 1200 × 630. Not the flyer — it is portrait and will crop badly.</w:t>
            </w:r>
          </w:p>
        </w:tc>
      </w:tr>
    </w:tbl>
    <w:p>
      <w:pPr>
        <w:spacing w:after="14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VERIFY  </w:t>
            </w:r>
            <w:r>
              <w:rPr>
                <w:rFonts w:ascii="Aptos" w:cs="Aptos" w:eastAsia="Aptos" w:hAnsi="Aptos"/>
                <w:sz w:val="20"/>
                <w:szCs w:val="20"/>
              </w:rPr>
              <w:t xml:space="preserve">Do not put a year in the URL or the H1. If NEPRA amends the regulations, a URL containing “2022” becomes a liability you cannot change without losing the accumulated authority.</w:t>
            </w:r>
          </w:p>
        </w:tc>
      </w:tr>
    </w:tbl>
    <w:p>
      <w:pPr>
        <w:pStyle w:val="Heading1"/>
        <w:spacing w:after="140" w:before="360"/>
      </w:pPr>
      <w:r>
        <w:rPr>
          <w:rFonts w:ascii="Aptos" w:cs="Aptos" w:eastAsia="Aptos" w:hAnsi="Aptos"/>
          <w:b/>
          <w:bCs/>
          <w:color w:val="0A1B3D"/>
          <w:sz w:val="32"/>
          <w:szCs w:val="32"/>
        </w:rPr>
        <w:t xml:space="preserve">6. Structured data</w:t>
      </w:r>
    </w:p>
    <w:p>
      <w:pPr>
        <w:spacing w:after="120" w:line="276"/>
      </w:pPr>
      <w:r>
        <w:rPr>
          <w:rFonts w:ascii="Aptos" w:cs="Aptos" w:eastAsia="Aptos" w:hAnsi="Aptos"/>
          <w:sz w:val="21"/>
          <w:szCs w:val="21"/>
        </w:rPr>
        <w:t xml:space="preserve">Three blocks, all in a single JSON-LD script in the head. Values below are ready to use; only the description strings need to match the final page copy.</w:t>
      </w:r>
    </w:p>
    <w:p>
      <w:pPr>
        <w:pStyle w:val="Heading3"/>
        <w:spacing w:after="90" w:before="200"/>
      </w:pPr>
      <w:r>
        <w:rPr>
          <w:rFonts w:ascii="Aptos" w:cs="Aptos" w:eastAsia="Aptos" w:hAnsi="Aptos"/>
          <w:b/>
          <w:bCs/>
          <w:color w:val="1F6FEB"/>
          <w:sz w:val="21"/>
          <w:szCs w:val="21"/>
        </w:rPr>
        <w:t xml:space="preserve">6.1 Service</w:t>
      </w:r>
    </w:p>
    <w:tbl>
      <w:tblPr>
        <w:tblW w:type="dxa" w:w="9026"/>
        <w:tblBorders>
          <w:top w:val="single" w:color="0F1B2E" w:sz="2"/>
          <w:left w:val="single" w:color="0F1B2E" w:sz="2"/>
          <w:bottom w:val="single" w:color="0F1B2E" w:sz="2"/>
          <w:right w:val="single" w:color="0F1B2E" w:sz="2"/>
          <w:insideH w:val="none" w:color="0F1B2E" w:sz="0"/>
          <w:insideV w:val="none" w:color="0F1B2E" w:sz="0"/>
        </w:tblBorders>
      </w:tblPr>
      <w:tblGrid>
        <w:gridCol w:w="9026"/>
      </w:tblGrid>
      <w:tr>
        <w:tc>
          <w:tcPr>
            <w:tcW w:type="dxa" w:w="9026"/>
            <w:shd w:fill="0F1B2E" w:color="auto" w:val="clear"/>
            <w:tcMar>
              <w:top w:type="dxa" w:w="150"/>
              <w:left w:type="dxa" w:w="190"/>
              <w:bottom w:type="dxa" w:w="150"/>
              <w:right w:type="dxa" w:w="150"/>
            </w:tcMar>
          </w:tcPr>
          <w:p>
            <w:pPr>
              <w:spacing w:after="0" w:line="240"/>
            </w:pPr>
            <w:r>
              <w:rPr>
                <w:rFonts w:ascii="Consolas" w:cs="Consolas" w:eastAsia="Consolas" w:hAnsi="Consolas"/>
                <w:color w:val="D6E4F7"/>
                <w:sz w:val="17"/>
                <w:szCs w:val="17"/>
              </w:rPr>
              <w:t xml:space="preserve">{</w:t>
            </w:r>
          </w:p>
          <w:p>
            <w:pPr>
              <w:spacing w:after="0" w:line="240"/>
            </w:pPr>
            <w:r>
              <w:rPr>
                <w:rFonts w:ascii="Consolas" w:cs="Consolas" w:eastAsia="Consolas" w:hAnsi="Consolas"/>
                <w:color w:val="D6E4F7"/>
                <w:sz w:val="17"/>
                <w:szCs w:val="17"/>
              </w:rPr>
              <w:t xml:space="preserve">  "@context": "https://schema.org",</w:t>
            </w:r>
          </w:p>
          <w:p>
            <w:pPr>
              <w:spacing w:after="0" w:line="240"/>
            </w:pPr>
            <w:r>
              <w:rPr>
                <w:rFonts w:ascii="Consolas" w:cs="Consolas" w:eastAsia="Consolas" w:hAnsi="Consolas"/>
                <w:color w:val="D6E4F7"/>
                <w:sz w:val="17"/>
                <w:szCs w:val="17"/>
              </w:rPr>
              <w:t xml:space="preserve">  "@type": "Service",</w:t>
            </w:r>
          </w:p>
          <w:p>
            <w:pPr>
              <w:spacing w:after="0" w:line="240"/>
            </w:pPr>
            <w:r>
              <w:rPr>
                <w:rFonts w:ascii="Consolas" w:cs="Consolas" w:eastAsia="Consolas" w:hAnsi="Consolas"/>
                <w:color w:val="D6E4F7"/>
                <w:sz w:val="17"/>
                <w:szCs w:val="17"/>
              </w:rPr>
              <w:t xml:space="preserve">  "@id": "https://www.xloopdigital.com/services/nepra-it-ot-compliance#service",</w:t>
            </w:r>
          </w:p>
          <w:p>
            <w:pPr>
              <w:spacing w:after="0" w:line="240"/>
            </w:pPr>
            <w:r>
              <w:rPr>
                <w:rFonts w:ascii="Consolas" w:cs="Consolas" w:eastAsia="Consolas" w:hAnsi="Consolas"/>
                <w:color w:val="D6E4F7"/>
                <w:sz w:val="17"/>
                <w:szCs w:val="17"/>
              </w:rPr>
              <w:t xml:space="preserve">  "name": "NEPRA IT/OT Regulatory Compliance Services",</w:t>
            </w:r>
          </w:p>
          <w:p>
            <w:pPr>
              <w:spacing w:after="0" w:line="240"/>
            </w:pPr>
            <w:r>
              <w:rPr>
                <w:rFonts w:ascii="Consolas" w:cs="Consolas" w:eastAsia="Consolas" w:hAnsi="Consolas"/>
                <w:color w:val="D6E4F7"/>
                <w:sz w:val="17"/>
                <w:szCs w:val="17"/>
              </w:rPr>
              <w:t xml:space="preserve">  "serviceType": "Regulatory compliance audit",</w:t>
            </w:r>
          </w:p>
          <w:p>
            <w:pPr>
              <w:spacing w:after="0" w:line="240"/>
            </w:pPr>
            <w:r>
              <w:rPr>
                <w:rFonts w:ascii="Consolas" w:cs="Consolas" w:eastAsia="Consolas" w:hAnsi="Consolas"/>
                <w:color w:val="D6E4F7"/>
                <w:sz w:val="17"/>
                <w:szCs w:val="17"/>
              </w:rPr>
              <w:t xml:space="preserve">  "description": "Independent NEPRA IT/OT compliance audits for Pakistan's power</w:t>
            </w:r>
          </w:p>
          <w:p>
            <w:pPr>
              <w:spacing w:after="0" w:line="240"/>
            </w:pPr>
            <w:r>
              <w:rPr>
                <w:rFonts w:ascii="Consolas" w:cs="Consolas" w:eastAsia="Consolas" w:hAnsi="Consolas"/>
                <w:color w:val="D6E4F7"/>
                <w:sz w:val="17"/>
                <w:szCs w:val="17"/>
              </w:rPr>
              <w:t xml:space="preserve">                  sector, covering Regulations 4 to 11.",</w:t>
            </w:r>
          </w:p>
          <w:p>
            <w:pPr>
              <w:spacing w:after="0" w:line="240"/>
            </w:pPr>
            <w:r>
              <w:rPr>
                <w:rFonts w:ascii="Consolas" w:cs="Consolas" w:eastAsia="Consolas" w:hAnsi="Consolas"/>
                <w:color w:val="D6E4F7"/>
                <w:sz w:val="17"/>
                <w:szCs w:val="17"/>
              </w:rPr>
              <w:t xml:space="preserve">  "provider": {</w:t>
            </w:r>
          </w:p>
          <w:p>
            <w:pPr>
              <w:spacing w:after="0" w:line="240"/>
            </w:pPr>
            <w:r>
              <w:rPr>
                <w:rFonts w:ascii="Consolas" w:cs="Consolas" w:eastAsia="Consolas" w:hAnsi="Consolas"/>
                <w:color w:val="D6E4F7"/>
                <w:sz w:val="17"/>
                <w:szCs w:val="17"/>
              </w:rPr>
              <w:t xml:space="preserve">    "@type": "Organization",</w:t>
            </w:r>
          </w:p>
          <w:p>
            <w:pPr>
              <w:spacing w:after="0" w:line="240"/>
            </w:pPr>
            <w:r>
              <w:rPr>
                <w:rFonts w:ascii="Consolas" w:cs="Consolas" w:eastAsia="Consolas" w:hAnsi="Consolas"/>
                <w:color w:val="D6E4F7"/>
                <w:sz w:val="17"/>
                <w:szCs w:val="17"/>
              </w:rPr>
              <w:t xml:space="preserve">    "name": "xLoop Digital Services",</w:t>
            </w:r>
          </w:p>
          <w:p>
            <w:pPr>
              <w:spacing w:after="0" w:line="240"/>
            </w:pPr>
            <w:r>
              <w:rPr>
                <w:rFonts w:ascii="Consolas" w:cs="Consolas" w:eastAsia="Consolas" w:hAnsi="Consolas"/>
                <w:color w:val="D6E4F7"/>
                <w:sz w:val="17"/>
                <w:szCs w:val="17"/>
              </w:rPr>
              <w:t xml:space="preserve">    "url": "https://www.xloopdigital.com/",</w:t>
            </w:r>
          </w:p>
          <w:p>
            <w:pPr>
              <w:spacing w:after="0" w:line="240"/>
            </w:pPr>
            <w:r>
              <w:rPr>
                <w:rFonts w:ascii="Consolas" w:cs="Consolas" w:eastAsia="Consolas" w:hAnsi="Consolas"/>
                <w:color w:val="D6E4F7"/>
                <w:sz w:val="17"/>
                <w:szCs w:val="17"/>
              </w:rPr>
              <w:t xml:space="preserve">    "telephone": "+92-21-3586-9200",</w:t>
            </w:r>
          </w:p>
          <w:p>
            <w:pPr>
              <w:spacing w:after="0" w:line="240"/>
            </w:pPr>
            <w:r>
              <w:rPr>
                <w:rFonts w:ascii="Consolas" w:cs="Consolas" w:eastAsia="Consolas" w:hAnsi="Consolas"/>
                <w:color w:val="D6E4F7"/>
                <w:sz w:val="17"/>
                <w:szCs w:val="17"/>
              </w:rPr>
              <w:t xml:space="preserve">    "email": "xsecurity@xloopdigital.com"</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  "areaServed": { "@type": "Country", "name": "Pakistan" },</w:t>
            </w:r>
          </w:p>
          <w:p>
            <w:pPr>
              <w:spacing w:after="0" w:line="240"/>
            </w:pPr>
            <w:r>
              <w:rPr>
                <w:rFonts w:ascii="Consolas" w:cs="Consolas" w:eastAsia="Consolas" w:hAnsi="Consolas"/>
                <w:color w:val="D6E4F7"/>
                <w:sz w:val="17"/>
                <w:szCs w:val="17"/>
              </w:rPr>
              <w:t xml:space="preserve">  "audience": {</w:t>
            </w:r>
          </w:p>
          <w:p>
            <w:pPr>
              <w:spacing w:after="0" w:line="240"/>
            </w:pPr>
            <w:r>
              <w:rPr>
                <w:rFonts w:ascii="Consolas" w:cs="Consolas" w:eastAsia="Consolas" w:hAnsi="Consolas"/>
                <w:color w:val="D6E4F7"/>
                <w:sz w:val="17"/>
                <w:szCs w:val="17"/>
              </w:rPr>
              <w:t xml:space="preserve">    "@type": "Audience",</w:t>
            </w:r>
          </w:p>
          <w:p>
            <w:pPr>
              <w:spacing w:after="0" w:line="240"/>
            </w:pPr>
            <w:r>
              <w:rPr>
                <w:rFonts w:ascii="Consolas" w:cs="Consolas" w:eastAsia="Consolas" w:hAnsi="Consolas"/>
                <w:color w:val="D6E4F7"/>
                <w:sz w:val="17"/>
                <w:szCs w:val="17"/>
              </w:rPr>
              <w:t xml:space="preserve">    "audienceType": "NEPRA-licensed power generation, transmission and</w:t>
            </w:r>
          </w:p>
          <w:p>
            <w:pPr>
              <w:spacing w:after="0" w:line="240"/>
            </w:pPr>
            <w:r>
              <w:rPr>
                <w:rFonts w:ascii="Consolas" w:cs="Consolas" w:eastAsia="Consolas" w:hAnsi="Consolas"/>
                <w:color w:val="D6E4F7"/>
                <w:sz w:val="17"/>
                <w:szCs w:val="17"/>
              </w:rPr>
              <w:t xml:space="preserve">                     distribution companies"</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  "hasOfferCatalog": {</w:t>
            </w:r>
          </w:p>
          <w:p>
            <w:pPr>
              <w:spacing w:after="0" w:line="240"/>
            </w:pPr>
            <w:r>
              <w:rPr>
                <w:rFonts w:ascii="Consolas" w:cs="Consolas" w:eastAsia="Consolas" w:hAnsi="Consolas"/>
                <w:color w:val="D6E4F7"/>
                <w:sz w:val="17"/>
                <w:szCs w:val="17"/>
              </w:rPr>
              <w:t xml:space="preserve">    "@type": "OfferCatalog",</w:t>
            </w:r>
          </w:p>
          <w:p>
            <w:pPr>
              <w:spacing w:after="0" w:line="240"/>
            </w:pPr>
            <w:r>
              <w:rPr>
                <w:rFonts w:ascii="Consolas" w:cs="Consolas" w:eastAsia="Consolas" w:hAnsi="Consolas"/>
                <w:color w:val="D6E4F7"/>
                <w:sz w:val="17"/>
                <w:szCs w:val="17"/>
              </w:rPr>
              <w:t xml:space="preserve">    "name": "NEPRA compliance bundle",</w:t>
            </w:r>
          </w:p>
          <w:p>
            <w:pPr>
              <w:spacing w:after="0" w:line="240"/>
            </w:pPr>
            <w:r>
              <w:rPr>
                <w:rFonts w:ascii="Consolas" w:cs="Consolas" w:eastAsia="Consolas" w:hAnsi="Consolas"/>
                <w:color w:val="D6E4F7"/>
                <w:sz w:val="17"/>
                <w:szCs w:val="17"/>
              </w:rPr>
              <w:t xml:space="preserve">    "itemListElement": [</w:t>
            </w:r>
          </w:p>
          <w:p>
            <w:pPr>
              <w:spacing w:after="0" w:line="240"/>
            </w:pPr>
            <w:r>
              <w:rPr>
                <w:rFonts w:ascii="Consolas" w:cs="Consolas" w:eastAsia="Consolas" w:hAnsi="Consolas"/>
                <w:color w:val="D6E4F7"/>
                <w:sz w:val="17"/>
                <w:szCs w:val="17"/>
              </w:rPr>
              <w:t xml:space="preserve">      { "@type": "Offer", "itemOffered": { "@type": "Service",</w:t>
            </w:r>
          </w:p>
          <w:p>
            <w:pPr>
              <w:spacing w:after="0" w:line="240"/>
            </w:pPr>
            <w:r>
              <w:rPr>
                <w:rFonts w:ascii="Consolas" w:cs="Consolas" w:eastAsia="Consolas" w:hAnsi="Consolas"/>
                <w:color w:val="D6E4F7"/>
                <w:sz w:val="17"/>
                <w:szCs w:val="17"/>
              </w:rPr>
              <w:t xml:space="preserve">        "name": "NEPRA Compliance Audit (Regulations 4-11)" } },</w:t>
            </w:r>
          </w:p>
          <w:p>
            <w:pPr>
              <w:spacing w:after="0" w:line="240"/>
            </w:pPr>
            <w:r>
              <w:rPr>
                <w:rFonts w:ascii="Consolas" w:cs="Consolas" w:eastAsia="Consolas" w:hAnsi="Consolas"/>
                <w:color w:val="D6E4F7"/>
                <w:sz w:val="17"/>
                <w:szCs w:val="17"/>
              </w:rPr>
              <w:t xml:space="preserve">      { "@type": "Offer", "itemOffered": { "@type": "Service",</w:t>
            </w:r>
          </w:p>
          <w:p>
            <w:pPr>
              <w:spacing w:after="0" w:line="240"/>
            </w:pPr>
            <w:r>
              <w:rPr>
                <w:rFonts w:ascii="Consolas" w:cs="Consolas" w:eastAsia="Consolas" w:hAnsi="Consolas"/>
                <w:color w:val="D6E4F7"/>
                <w:sz w:val="17"/>
                <w:szCs w:val="17"/>
              </w:rPr>
              <w:t xml:space="preserve">        "name": "IT &amp; OT VAPT Services (Regulation 6)" } },</w:t>
            </w:r>
          </w:p>
          <w:p>
            <w:pPr>
              <w:spacing w:after="0" w:line="240"/>
            </w:pPr>
            <w:r>
              <w:rPr>
                <w:rFonts w:ascii="Consolas" w:cs="Consolas" w:eastAsia="Consolas" w:hAnsi="Consolas"/>
                <w:color w:val="D6E4F7"/>
                <w:sz w:val="17"/>
                <w:szCs w:val="17"/>
              </w:rPr>
              <w:t xml:space="preserve">      { "@type": "Offer", "itemOffered": { "@type": "Service",</w:t>
            </w:r>
          </w:p>
          <w:p>
            <w:pPr>
              <w:spacing w:after="0" w:line="240"/>
            </w:pPr>
            <w:r>
              <w:rPr>
                <w:rFonts w:ascii="Consolas" w:cs="Consolas" w:eastAsia="Consolas" w:hAnsi="Consolas"/>
                <w:color w:val="D6E4F7"/>
                <w:sz w:val="17"/>
                <w:szCs w:val="17"/>
              </w:rPr>
              <w:t xml:space="preserve">        "name": "Security Policy Framework (Regulation 4)" } },</w:t>
            </w:r>
          </w:p>
          <w:p>
            <w:pPr>
              <w:spacing w:after="0" w:line="240"/>
            </w:pPr>
            <w:r>
              <w:rPr>
                <w:rFonts w:ascii="Consolas" w:cs="Consolas" w:eastAsia="Consolas" w:hAnsi="Consolas"/>
                <w:color w:val="D6E4F7"/>
                <w:sz w:val="17"/>
                <w:szCs w:val="17"/>
              </w:rPr>
              <w:t xml:space="preserve">      { "@type": "Offer", "itemOffered": { "@type": "Service",</w:t>
            </w:r>
          </w:p>
          <w:p>
            <w:pPr>
              <w:spacing w:after="0" w:line="240"/>
            </w:pPr>
            <w:r>
              <w:rPr>
                <w:rFonts w:ascii="Consolas" w:cs="Consolas" w:eastAsia="Consolas" w:hAnsi="Consolas"/>
                <w:color w:val="D6E4F7"/>
                <w:sz w:val="17"/>
                <w:szCs w:val="17"/>
              </w:rPr>
              <w:t xml:space="preserve">        "name": "Cybersecurity Awareness &amp; Training (Regulation 10)" } }</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w:t>
            </w:r>
          </w:p>
        </w:tc>
      </w:tr>
    </w:tbl>
    <w:p>
      <w:pPr>
        <w:spacing w:after="12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VERIFY  </w:t>
            </w:r>
            <w:r>
              <w:rPr>
                <w:rFonts w:ascii="Aptos" w:cs="Aptos" w:eastAsia="Aptos" w:hAnsi="Aptos"/>
                <w:sz w:val="20"/>
                <w:szCs w:val="20"/>
              </w:rPr>
              <w:t xml:space="preserve">If the site already emits Organization schema sitewide, do not repeat it here. Reference it instead: "provider": { "@id": "https://www.xloopdigital.com/#organization" }. Duplicate Organization nodes are a common and avoidable validation error.</w:t>
            </w:r>
          </w:p>
        </w:tc>
      </w:tr>
    </w:tbl>
    <w:p>
      <w:pPr>
        <w:pStyle w:val="Heading3"/>
        <w:spacing w:after="90" w:before="200"/>
      </w:pPr>
      <w:r>
        <w:rPr>
          <w:rFonts w:ascii="Aptos" w:cs="Aptos" w:eastAsia="Aptos" w:hAnsi="Aptos"/>
          <w:b/>
          <w:bCs/>
          <w:color w:val="1F6FEB"/>
          <w:sz w:val="21"/>
          <w:szCs w:val="21"/>
        </w:rPr>
        <w:t xml:space="preserve">6.2 FAQPage</w:t>
      </w:r>
    </w:p>
    <w:p>
      <w:pPr>
        <w:spacing w:after="120" w:line="276"/>
      </w:pPr>
      <w:r>
        <w:rPr>
          <w:rFonts w:ascii="Aptos" w:cs="Aptos" w:eastAsia="Aptos" w:hAnsi="Aptos"/>
          <w:sz w:val="21"/>
          <w:szCs w:val="21"/>
        </w:rPr>
        <w:t xml:space="preserve">Six entries. Question and answer text must match the visible page word for word.</w:t>
      </w:r>
    </w:p>
    <w:tbl>
      <w:tblPr>
        <w:tblW w:type="dxa" w:w="9026"/>
        <w:tblBorders>
          <w:top w:val="single" w:color="0F1B2E" w:sz="2"/>
          <w:left w:val="single" w:color="0F1B2E" w:sz="2"/>
          <w:bottom w:val="single" w:color="0F1B2E" w:sz="2"/>
          <w:right w:val="single" w:color="0F1B2E" w:sz="2"/>
          <w:insideH w:val="none" w:color="0F1B2E" w:sz="0"/>
          <w:insideV w:val="none" w:color="0F1B2E" w:sz="0"/>
        </w:tblBorders>
      </w:tblPr>
      <w:tblGrid>
        <w:gridCol w:w="9026"/>
      </w:tblGrid>
      <w:tr>
        <w:tc>
          <w:tcPr>
            <w:tcW w:type="dxa" w:w="9026"/>
            <w:shd w:fill="0F1B2E" w:color="auto" w:val="clear"/>
            <w:tcMar>
              <w:top w:type="dxa" w:w="150"/>
              <w:left w:type="dxa" w:w="190"/>
              <w:bottom w:type="dxa" w:w="150"/>
              <w:right w:type="dxa" w:w="150"/>
            </w:tcMar>
          </w:tcPr>
          <w:p>
            <w:pPr>
              <w:spacing w:after="0" w:line="240"/>
            </w:pPr>
            <w:r>
              <w:rPr>
                <w:rFonts w:ascii="Consolas" w:cs="Consolas" w:eastAsia="Consolas" w:hAnsi="Consolas"/>
                <w:color w:val="D6E4F7"/>
                <w:sz w:val="17"/>
                <w:szCs w:val="17"/>
              </w:rPr>
              <w:t xml:space="preserve">{</w:t>
            </w:r>
          </w:p>
          <w:p>
            <w:pPr>
              <w:spacing w:after="0" w:line="240"/>
            </w:pPr>
            <w:r>
              <w:rPr>
                <w:rFonts w:ascii="Consolas" w:cs="Consolas" w:eastAsia="Consolas" w:hAnsi="Consolas"/>
                <w:color w:val="D6E4F7"/>
                <w:sz w:val="17"/>
                <w:szCs w:val="17"/>
              </w:rPr>
              <w:t xml:space="preserve">  "@context": "https://schema.org",</w:t>
            </w:r>
          </w:p>
          <w:p>
            <w:pPr>
              <w:spacing w:after="0" w:line="240"/>
            </w:pPr>
            <w:r>
              <w:rPr>
                <w:rFonts w:ascii="Consolas" w:cs="Consolas" w:eastAsia="Consolas" w:hAnsi="Consolas"/>
                <w:color w:val="D6E4F7"/>
                <w:sz w:val="17"/>
                <w:szCs w:val="17"/>
              </w:rPr>
              <w:t xml:space="preserve">  "@type": "FAQPage",</w:t>
            </w:r>
          </w:p>
          <w:p>
            <w:pPr>
              <w:spacing w:after="0" w:line="240"/>
            </w:pPr>
            <w:r>
              <w:rPr>
                <w:rFonts w:ascii="Consolas" w:cs="Consolas" w:eastAsia="Consolas" w:hAnsi="Consolas"/>
                <w:color w:val="D6E4F7"/>
                <w:sz w:val="17"/>
                <w:szCs w:val="17"/>
              </w:rPr>
              <w:t xml:space="preserve">  "mainEntity": [</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      "@type": "Question",</w:t>
            </w:r>
          </w:p>
          <w:p>
            <w:pPr>
              <w:spacing w:after="0" w:line="240"/>
            </w:pPr>
            <w:r>
              <w:rPr>
                <w:rFonts w:ascii="Consolas" w:cs="Consolas" w:eastAsia="Consolas" w:hAnsi="Consolas"/>
                <w:color w:val="D6E4F7"/>
                <w:sz w:val="17"/>
                <w:szCs w:val="17"/>
              </w:rPr>
              <w:t xml:space="preserve">      "name": "Who has to comply with NEPRA's IT/OT security regulations?",</w:t>
            </w:r>
          </w:p>
          <w:p>
            <w:pPr>
              <w:spacing w:after="0" w:line="240"/>
            </w:pPr>
            <w:r>
              <w:rPr>
                <w:rFonts w:ascii="Consolas" w:cs="Consolas" w:eastAsia="Consolas" w:hAnsi="Consolas"/>
                <w:color w:val="D6E4F7"/>
                <w:sz w:val="17"/>
                <w:szCs w:val="17"/>
              </w:rPr>
              <w:t xml:space="preserve">      "acceptedAnswer": {</w:t>
            </w:r>
          </w:p>
          <w:p>
            <w:pPr>
              <w:spacing w:after="0" w:line="240"/>
            </w:pPr>
            <w:r>
              <w:rPr>
                <w:rFonts w:ascii="Consolas" w:cs="Consolas" w:eastAsia="Consolas" w:hAnsi="Consolas"/>
                <w:color w:val="D6E4F7"/>
                <w:sz w:val="17"/>
                <w:szCs w:val="17"/>
              </w:rPr>
              <w:t xml:space="preserve">        "@type": "Answer",</w:t>
            </w:r>
          </w:p>
          <w:p>
            <w:pPr>
              <w:spacing w:after="0" w:line="240"/>
            </w:pPr>
            <w:r>
              <w:rPr>
                <w:rFonts w:ascii="Consolas" w:cs="Consolas" w:eastAsia="Consolas" w:hAnsi="Consolas"/>
                <w:color w:val="D6E4F7"/>
                <w:sz w:val="17"/>
                <w:szCs w:val="17"/>
              </w:rPr>
              <w:t xml:space="preserve">        "text": "Every NEPRA licensee in Pakistan's power sector - generation,</w:t>
            </w:r>
          </w:p>
          <w:p>
            <w:pPr>
              <w:spacing w:after="0" w:line="240"/>
            </w:pPr>
            <w:r>
              <w:rPr>
                <w:rFonts w:ascii="Consolas" w:cs="Consolas" w:eastAsia="Consolas" w:hAnsi="Consolas"/>
                <w:color w:val="D6E4F7"/>
                <w:sz w:val="17"/>
                <w:szCs w:val="17"/>
              </w:rPr>
              <w:t xml:space="preserve">                 transmission and distribution companies. The obligations cover</w:t>
            </w:r>
          </w:p>
          <w:p>
            <w:pPr>
              <w:spacing w:after="0" w:line="240"/>
            </w:pPr>
            <w:r>
              <w:rPr>
                <w:rFonts w:ascii="Consolas" w:cs="Consolas" w:eastAsia="Consolas" w:hAnsi="Consolas"/>
                <w:color w:val="D6E4F7"/>
                <w:sz w:val="17"/>
                <w:szCs w:val="17"/>
              </w:rPr>
              <w:t xml:space="preserve">                 both corporate IT and operational technology, including SCADA,</w:t>
            </w:r>
          </w:p>
          <w:p>
            <w:pPr>
              <w:spacing w:after="0" w:line="240"/>
            </w:pPr>
            <w:r>
              <w:rPr>
                <w:rFonts w:ascii="Consolas" w:cs="Consolas" w:eastAsia="Consolas" w:hAnsi="Consolas"/>
                <w:color w:val="D6E4F7"/>
                <w:sz w:val="17"/>
                <w:szCs w:val="17"/>
              </w:rPr>
              <w:t xml:space="preserve">                 DCS, PLCs and RTUs."</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    /* … repeat for the remaining five questions … */</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w:t>
            </w:r>
          </w:p>
        </w:tc>
      </w:tr>
    </w:tbl>
    <w:p>
      <w:pPr>
        <w:pStyle w:val="Heading3"/>
        <w:spacing w:after="90" w:before="200"/>
      </w:pPr>
      <w:r>
        <w:rPr>
          <w:rFonts w:ascii="Aptos" w:cs="Aptos" w:eastAsia="Aptos" w:hAnsi="Aptos"/>
          <w:b/>
          <w:bCs/>
          <w:color w:val="1F6FEB"/>
          <w:sz w:val="21"/>
          <w:szCs w:val="21"/>
        </w:rPr>
        <w:t xml:space="preserve">6.3 BreadcrumbList</w:t>
      </w:r>
    </w:p>
    <w:tbl>
      <w:tblPr>
        <w:tblW w:type="dxa" w:w="9026"/>
        <w:tblBorders>
          <w:top w:val="single" w:color="0F1B2E" w:sz="2"/>
          <w:left w:val="single" w:color="0F1B2E" w:sz="2"/>
          <w:bottom w:val="single" w:color="0F1B2E" w:sz="2"/>
          <w:right w:val="single" w:color="0F1B2E" w:sz="2"/>
          <w:insideH w:val="none" w:color="0F1B2E" w:sz="0"/>
          <w:insideV w:val="none" w:color="0F1B2E" w:sz="0"/>
        </w:tblBorders>
      </w:tblPr>
      <w:tblGrid>
        <w:gridCol w:w="9026"/>
      </w:tblGrid>
      <w:tr>
        <w:tc>
          <w:tcPr>
            <w:tcW w:type="dxa" w:w="9026"/>
            <w:shd w:fill="0F1B2E" w:color="auto" w:val="clear"/>
            <w:tcMar>
              <w:top w:type="dxa" w:w="150"/>
              <w:left w:type="dxa" w:w="190"/>
              <w:bottom w:type="dxa" w:w="150"/>
              <w:right w:type="dxa" w:w="150"/>
            </w:tcMar>
          </w:tcPr>
          <w:p>
            <w:pPr>
              <w:spacing w:after="0" w:line="240"/>
            </w:pPr>
            <w:r>
              <w:rPr>
                <w:rFonts w:ascii="Consolas" w:cs="Consolas" w:eastAsia="Consolas" w:hAnsi="Consolas"/>
                <w:color w:val="D6E4F7"/>
                <w:sz w:val="17"/>
                <w:szCs w:val="17"/>
              </w:rPr>
              <w:t xml:space="preserve">{</w:t>
            </w:r>
          </w:p>
          <w:p>
            <w:pPr>
              <w:spacing w:after="0" w:line="240"/>
            </w:pPr>
            <w:r>
              <w:rPr>
                <w:rFonts w:ascii="Consolas" w:cs="Consolas" w:eastAsia="Consolas" w:hAnsi="Consolas"/>
                <w:color w:val="D6E4F7"/>
                <w:sz w:val="17"/>
                <w:szCs w:val="17"/>
              </w:rPr>
              <w:t xml:space="preserve">  "@context": "https://schema.org",</w:t>
            </w:r>
          </w:p>
          <w:p>
            <w:pPr>
              <w:spacing w:after="0" w:line="240"/>
            </w:pPr>
            <w:r>
              <w:rPr>
                <w:rFonts w:ascii="Consolas" w:cs="Consolas" w:eastAsia="Consolas" w:hAnsi="Consolas"/>
                <w:color w:val="D6E4F7"/>
                <w:sz w:val="17"/>
                <w:szCs w:val="17"/>
              </w:rPr>
              <w:t xml:space="preserve">  "@type": "BreadcrumbList",</w:t>
            </w:r>
          </w:p>
          <w:p>
            <w:pPr>
              <w:spacing w:after="0" w:line="240"/>
            </w:pPr>
            <w:r>
              <w:rPr>
                <w:rFonts w:ascii="Consolas" w:cs="Consolas" w:eastAsia="Consolas" w:hAnsi="Consolas"/>
                <w:color w:val="D6E4F7"/>
                <w:sz w:val="17"/>
                <w:szCs w:val="17"/>
              </w:rPr>
              <w:t xml:space="preserve">  "itemListElement": [</w:t>
            </w:r>
          </w:p>
          <w:p>
            <w:pPr>
              <w:spacing w:after="0" w:line="240"/>
            </w:pPr>
            <w:r>
              <w:rPr>
                <w:rFonts w:ascii="Consolas" w:cs="Consolas" w:eastAsia="Consolas" w:hAnsi="Consolas"/>
                <w:color w:val="D6E4F7"/>
                <w:sz w:val="17"/>
                <w:szCs w:val="17"/>
              </w:rPr>
              <w:t xml:space="preserve">    { "@type": "ListItem", "position": 1, "name": "Home",</w:t>
            </w:r>
          </w:p>
          <w:p>
            <w:pPr>
              <w:spacing w:after="0" w:line="240"/>
            </w:pPr>
            <w:r>
              <w:rPr>
                <w:rFonts w:ascii="Consolas" w:cs="Consolas" w:eastAsia="Consolas" w:hAnsi="Consolas"/>
                <w:color w:val="D6E4F7"/>
                <w:sz w:val="17"/>
                <w:szCs w:val="17"/>
              </w:rPr>
              <w:t xml:space="preserve">      "item": "https://www.xloopdigital.com/" },</w:t>
            </w:r>
          </w:p>
          <w:p>
            <w:pPr>
              <w:spacing w:after="0" w:line="240"/>
            </w:pPr>
            <w:r>
              <w:rPr>
                <w:rFonts w:ascii="Consolas" w:cs="Consolas" w:eastAsia="Consolas" w:hAnsi="Consolas"/>
                <w:color w:val="D6E4F7"/>
                <w:sz w:val="17"/>
                <w:szCs w:val="17"/>
              </w:rPr>
              <w:t xml:space="preserve">    { "@type": "ListItem", "position": 2, "name": "Services",</w:t>
            </w:r>
          </w:p>
          <w:p>
            <w:pPr>
              <w:spacing w:after="0" w:line="240"/>
            </w:pPr>
            <w:r>
              <w:rPr>
                <w:rFonts w:ascii="Consolas" w:cs="Consolas" w:eastAsia="Consolas" w:hAnsi="Consolas"/>
                <w:color w:val="D6E4F7"/>
                <w:sz w:val="17"/>
                <w:szCs w:val="17"/>
              </w:rPr>
              <w:t xml:space="preserve">      "item": "https://www.xloopdigital.com/services" },</w:t>
            </w:r>
          </w:p>
          <w:p>
            <w:pPr>
              <w:spacing w:after="0" w:line="240"/>
            </w:pPr>
            <w:r>
              <w:rPr>
                <w:rFonts w:ascii="Consolas" w:cs="Consolas" w:eastAsia="Consolas" w:hAnsi="Consolas"/>
                <w:color w:val="D6E4F7"/>
                <w:sz w:val="17"/>
                <w:szCs w:val="17"/>
              </w:rPr>
              <w:t xml:space="preserve">    { "@type": "ListItem", "position": 3,</w:t>
            </w:r>
          </w:p>
          <w:p>
            <w:pPr>
              <w:spacing w:after="0" w:line="240"/>
            </w:pPr>
            <w:r>
              <w:rPr>
                <w:rFonts w:ascii="Consolas" w:cs="Consolas" w:eastAsia="Consolas" w:hAnsi="Consolas"/>
                <w:color w:val="D6E4F7"/>
                <w:sz w:val="17"/>
                <w:szCs w:val="17"/>
              </w:rPr>
              <w:t xml:space="preserve">      "name": "NEPRA IT/OT Compliance" }</w:t>
            </w:r>
          </w:p>
          <w:p>
            <w:pPr>
              <w:spacing w:after="0" w:line="240"/>
            </w:pPr>
            <w:r>
              <w:rPr>
                <w:rFonts w:ascii="Consolas" w:cs="Consolas" w:eastAsia="Consolas" w:hAnsi="Consolas"/>
                <w:color w:val="D6E4F7"/>
                <w:sz w:val="17"/>
                <w:szCs w:val="17"/>
              </w:rPr>
              <w:t xml:space="preserve">  ]</w:t>
            </w:r>
          </w:p>
          <w:p>
            <w:pPr>
              <w:spacing w:after="0" w:line="240"/>
            </w:pPr>
            <w:r>
              <w:rPr>
                <w:rFonts w:ascii="Consolas" w:cs="Consolas" w:eastAsia="Consolas" w:hAnsi="Consolas"/>
                <w:color w:val="D6E4F7"/>
                <w:sz w:val="17"/>
                <w:szCs w:val="17"/>
              </w:rPr>
              <w:t xml:space="preserve">}</w:t>
            </w:r>
          </w:p>
        </w:tc>
      </w:tr>
    </w:tbl>
    <w:p>
      <w:pPr>
        <w:spacing w:after="120"/>
      </w:pPr>
      <w:r>
        <w:rPr>
          <w:rFonts w:ascii="Aptos" w:cs="Aptos" w:eastAsia="Aptos" w:hAnsi="Aptos"/>
          <w:sz w:val="21"/>
          <w:szCs w:val="21"/>
        </w:rPr>
        <w:t xml:space="preserve"/>
      </w:r>
    </w:p>
    <w:p>
      <w:pPr>
        <w:spacing w:after="120" w:line="276"/>
      </w:pPr>
      <w:r>
        <w:rPr>
          <w:rFonts w:ascii="Aptos" w:cs="Aptos" w:eastAsia="Aptos" w:hAnsi="Aptos"/>
          <w:sz w:val="21"/>
          <w:szCs w:val="21"/>
        </w:rPr>
        <w:t xml:space="preserve">Validate all three at </w:t>
      </w:r>
      <w:r>
        <w:rPr>
          <w:rFonts w:ascii="Consolas" w:cs="Consolas" w:eastAsia="Consolas" w:hAnsi="Consolas"/>
          <w:sz w:val="17"/>
          <w:szCs w:val="17"/>
        </w:rPr>
        <w:t xml:space="preserve">search.google.com/test/rich-results</w:t>
      </w:r>
      <w:r>
        <w:rPr>
          <w:rFonts w:ascii="Aptos" w:cs="Aptos" w:eastAsia="Aptos" w:hAnsi="Aptos"/>
          <w:sz w:val="21"/>
          <w:szCs w:val="21"/>
        </w:rPr>
        <w:t xml:space="preserve"> before launch, and again after any copy change to the FAQ.</w:t>
      </w:r>
    </w:p>
    <w:p>
      <w:r>
        <w:br w:type="page"/>
      </w:r>
    </w:p>
    <w:p>
      <w:pPr>
        <w:pStyle w:val="Heading1"/>
        <w:spacing w:after="140" w:before="360"/>
      </w:pPr>
      <w:r>
        <w:rPr>
          <w:rFonts w:ascii="Aptos" w:cs="Aptos" w:eastAsia="Aptos" w:hAnsi="Aptos"/>
          <w:b/>
          <w:bCs/>
          <w:color w:val="0A1B3D"/>
          <w:sz w:val="32"/>
          <w:szCs w:val="32"/>
        </w:rPr>
        <w:t xml:space="preserve">7. Answer engines and AI agents</w:t>
      </w:r>
    </w:p>
    <w:p>
      <w:pPr>
        <w:spacing w:after="120" w:line="276"/>
      </w:pPr>
      <w:r>
        <w:rPr>
          <w:rFonts w:ascii="Aptos" w:cs="Aptos" w:eastAsia="Aptos" w:hAnsi="Aptos"/>
          <w:sz w:val="21"/>
          <w:szCs w:val="21"/>
        </w:rPr>
        <w:t xml:space="preserve">Search rankings and AI citations are earned differently. These are the levers that apply specifically to being quoted by an assistant rather than ranked by a crawler.</w:t>
      </w:r>
    </w:p>
    <w:p>
      <w:pPr>
        <w:pStyle w:val="Heading2"/>
        <w:spacing w:after="110" w:before="280"/>
      </w:pPr>
      <w:r>
        <w:rPr>
          <w:rFonts w:ascii="Aptos" w:cs="Aptos" w:eastAsia="Aptos" w:hAnsi="Aptos"/>
          <w:b/>
          <w:bCs/>
          <w:color w:val="0A1B3D"/>
          <w:sz w:val="25"/>
          <w:szCs w:val="25"/>
        </w:rPr>
        <w:t xml:space="preserve">Content levers</w:t>
      </w:r>
    </w:p>
    <w:p>
      <w:pPr>
        <w:pStyle w:val="ListParagraph"/>
        <w:numPr>
          <w:ilvl w:val="0"/>
          <w:numId w:val="3"/>
        </w:numPr>
        <w:spacing w:after="60" w:line="276"/>
      </w:pPr>
      <w:r>
        <w:rPr>
          <w:rFonts w:ascii="Aptos" w:cs="Aptos" w:eastAsia="Aptos" w:hAnsi="Aptos"/>
          <w:b/>
          <w:bCs/>
          <w:sz w:val="21"/>
          <w:szCs w:val="21"/>
        </w:rPr>
        <w:t xml:space="preserve">Answer capsules under every H2. </w:t>
      </w:r>
      <w:r>
        <w:rPr>
          <w:rFonts w:ascii="Aptos" w:cs="Aptos" w:eastAsia="Aptos" w:hAnsi="Aptos"/>
          <w:sz w:val="21"/>
          <w:szCs w:val="21"/>
        </w:rPr>
        <w:t xml:space="preserve">Covered in section 4. The single biggest lever, and unused by every competitor.</w:t>
      </w:r>
    </w:p>
    <w:p>
      <w:pPr>
        <w:pStyle w:val="ListParagraph"/>
        <w:numPr>
          <w:ilvl w:val="0"/>
          <w:numId w:val="3"/>
        </w:numPr>
        <w:spacing w:after="60" w:line="276"/>
      </w:pPr>
      <w:r>
        <w:rPr>
          <w:rFonts w:ascii="Aptos" w:cs="Aptos" w:eastAsia="Aptos" w:hAnsi="Aptos"/>
          <w:b/>
          <w:bCs/>
          <w:sz w:val="21"/>
          <w:szCs w:val="21"/>
        </w:rPr>
        <w:t xml:space="preserve">Write the reference content impersonally. </w:t>
      </w:r>
      <w:r>
        <w:rPr>
          <w:rFonts w:ascii="Aptos" w:cs="Aptos" w:eastAsia="Aptos" w:hAnsi="Aptos"/>
          <w:sz w:val="21"/>
          <w:szCs w:val="21"/>
        </w:rPr>
        <w:t xml:space="preserve">“A NEPRA compliance audit produces…” gets cited; “We produce…” gets skipped. Save first person for the credentials and CTA blocks.</w:t>
      </w:r>
    </w:p>
    <w:p>
      <w:pPr>
        <w:pStyle w:val="ListParagraph"/>
        <w:numPr>
          <w:ilvl w:val="0"/>
          <w:numId w:val="3"/>
        </w:numPr>
        <w:spacing w:after="60" w:line="276"/>
      </w:pPr>
      <w:r>
        <w:rPr>
          <w:rFonts w:ascii="Aptos" w:cs="Aptos" w:eastAsia="Aptos" w:hAnsi="Aptos"/>
          <w:b/>
          <w:bCs/>
          <w:sz w:val="21"/>
          <w:szCs w:val="21"/>
        </w:rPr>
        <w:t xml:space="preserve">Name entities explicitly and repeatedly. </w:t>
      </w:r>
      <w:r>
        <w:rPr>
          <w:rFonts w:ascii="Aptos" w:cs="Aptos" w:eastAsia="Aptos" w:hAnsi="Aptos"/>
          <w:sz w:val="21"/>
          <w:szCs w:val="21"/>
        </w:rPr>
        <w:t xml:space="preserve">NEPRA, PowerCERT, National CERT, ISMO, SCADA, IEC 62443, ISO 27001. Assistants resolve topic from entity co-occurrence, not keyword density.</w:t>
      </w:r>
    </w:p>
    <w:p>
      <w:pPr>
        <w:pStyle w:val="ListParagraph"/>
        <w:numPr>
          <w:ilvl w:val="0"/>
          <w:numId w:val="3"/>
        </w:numPr>
        <w:spacing w:after="60" w:line="276"/>
      </w:pPr>
      <w:r>
        <w:rPr>
          <w:rFonts w:ascii="Aptos" w:cs="Aptos" w:eastAsia="Aptos" w:hAnsi="Aptos"/>
          <w:b/>
          <w:bCs/>
          <w:sz w:val="21"/>
          <w:szCs w:val="21"/>
        </w:rPr>
        <w:t xml:space="preserve">Use exact regulation numbers as text. </w:t>
      </w:r>
      <w:r>
        <w:rPr>
          <w:rFonts w:ascii="Aptos" w:cs="Aptos" w:eastAsia="Aptos" w:hAnsi="Aptos"/>
          <w:sz w:val="21"/>
          <w:szCs w:val="21"/>
        </w:rPr>
        <w:t xml:space="preserve">“Regulation 6” written out, not “Reg. 6” or an icon. This is how a model retrieves the row for “what is Regulation 6”.</w:t>
      </w:r>
    </w:p>
    <w:p>
      <w:pPr>
        <w:pStyle w:val="ListParagraph"/>
        <w:numPr>
          <w:ilvl w:val="0"/>
          <w:numId w:val="3"/>
        </w:numPr>
        <w:spacing w:after="60" w:line="276"/>
      </w:pPr>
      <w:r>
        <w:rPr>
          <w:rFonts w:ascii="Aptos" w:cs="Aptos" w:eastAsia="Aptos" w:hAnsi="Aptos"/>
          <w:b/>
          <w:bCs/>
          <w:sz w:val="21"/>
          <w:szCs w:val="21"/>
        </w:rPr>
        <w:t xml:space="preserve">Date the page. </w:t>
      </w:r>
      <w:r>
        <w:rPr>
          <w:rFonts w:ascii="Aptos" w:cs="Aptos" w:eastAsia="Aptos" w:hAnsi="Aptos"/>
          <w:sz w:val="21"/>
          <w:szCs w:val="21"/>
        </w:rPr>
        <w:t xml:space="preserve">A visible “Last reviewed: [month year]” and </w:t>
      </w:r>
      <w:r>
        <w:rPr>
          <w:rFonts w:ascii="Consolas" w:cs="Consolas" w:eastAsia="Consolas" w:hAnsi="Consolas"/>
          <w:sz w:val="17"/>
          <w:szCs w:val="17"/>
        </w:rPr>
        <w:t xml:space="preserve">dateModified</w:t>
      </w:r>
      <w:r>
        <w:rPr>
          <w:rFonts w:ascii="Aptos" w:cs="Aptos" w:eastAsia="Aptos" w:hAnsi="Aptos"/>
          <w:sz w:val="21"/>
          <w:szCs w:val="21"/>
        </w:rPr>
        <w:t xml:space="preserve"> in schema. Assistants weight recency heavily on regulatory topics, where stale content is actively dangerous.</w:t>
      </w:r>
    </w:p>
    <w:p>
      <w:pPr>
        <w:pStyle w:val="ListParagraph"/>
        <w:numPr>
          <w:ilvl w:val="0"/>
          <w:numId w:val="3"/>
        </w:numPr>
        <w:spacing w:after="60" w:line="276"/>
      </w:pPr>
      <w:r>
        <w:rPr>
          <w:rFonts w:ascii="Aptos" w:cs="Aptos" w:eastAsia="Aptos" w:hAnsi="Aptos"/>
          <w:b/>
          <w:bCs/>
          <w:sz w:val="21"/>
          <w:szCs w:val="21"/>
        </w:rPr>
        <w:t xml:space="preserve">State scope limits honestly. </w:t>
      </w:r>
      <w:r>
        <w:rPr>
          <w:rFonts w:ascii="Aptos" w:cs="Aptos" w:eastAsia="Aptos" w:hAnsi="Aptos"/>
          <w:sz w:val="21"/>
          <w:szCs w:val="21"/>
        </w:rPr>
        <w:t xml:space="preserve">A page that says what it does not cover reads as more authoritative to both a human and a model than one that claims everything.</w:t>
      </w:r>
    </w:p>
    <w:p>
      <w:pPr>
        <w:pStyle w:val="Heading2"/>
        <w:spacing w:after="110" w:before="280"/>
      </w:pPr>
      <w:r>
        <w:rPr>
          <w:rFonts w:ascii="Aptos" w:cs="Aptos" w:eastAsia="Aptos" w:hAnsi="Aptos"/>
          <w:b/>
          <w:bCs/>
          <w:color w:val="0A1B3D"/>
          <w:sz w:val="25"/>
          <w:szCs w:val="25"/>
        </w:rPr>
        <w:t xml:space="preserve">Technical levers</w:t>
      </w:r>
    </w:p>
    <w:p>
      <w:pPr>
        <w:pStyle w:val="ListParagraph"/>
        <w:numPr>
          <w:ilvl w:val="0"/>
          <w:numId w:val="3"/>
        </w:numPr>
        <w:spacing w:after="60" w:line="276"/>
      </w:pPr>
      <w:r>
        <w:rPr>
          <w:rFonts w:ascii="Aptos" w:cs="Aptos" w:eastAsia="Aptos" w:hAnsi="Aptos"/>
          <w:b/>
          <w:bCs/>
          <w:sz w:val="21"/>
          <w:szCs w:val="21"/>
        </w:rPr>
        <w:t xml:space="preserve">Server-rendered HTML. </w:t>
      </w:r>
      <w:r>
        <w:rPr>
          <w:rFonts w:ascii="Aptos" w:cs="Aptos" w:eastAsia="Aptos" w:hAnsi="Aptos"/>
          <w:sz w:val="21"/>
          <w:szCs w:val="21"/>
        </w:rPr>
        <w:t xml:space="preserve">Most AI crawlers do not execute JavaScript. Content that appears after hydration is content that does not exist to them.</w:t>
      </w:r>
    </w:p>
    <w:p>
      <w:pPr>
        <w:pStyle w:val="ListParagraph"/>
        <w:numPr>
          <w:ilvl w:val="0"/>
          <w:numId w:val="3"/>
        </w:numPr>
        <w:spacing w:after="60" w:line="276"/>
      </w:pPr>
      <w:r>
        <w:rPr>
          <w:rFonts w:ascii="Aptos" w:cs="Aptos" w:eastAsia="Aptos" w:hAnsi="Aptos"/>
          <w:b/>
          <w:bCs/>
          <w:sz w:val="21"/>
          <w:szCs w:val="21"/>
        </w:rPr>
        <w:t xml:space="preserve">Check robots.txt for AI crawler rules. </w:t>
      </w:r>
      <w:r>
        <w:rPr>
          <w:rFonts w:ascii="Aptos" w:cs="Aptos" w:eastAsia="Aptos" w:hAnsi="Aptos"/>
          <w:sz w:val="21"/>
          <w:szCs w:val="21"/>
        </w:rPr>
        <w:t xml:space="preserve">GPTBot, ClaudeBot, PerplexityBot, Google-Extended. If any are disallowed sitewide, this page cannot be cited no matter how well it is written.</w:t>
      </w:r>
    </w:p>
    <w:p>
      <w:pPr>
        <w:pStyle w:val="ListParagraph"/>
        <w:numPr>
          <w:ilvl w:val="0"/>
          <w:numId w:val="3"/>
        </w:numPr>
        <w:spacing w:after="60" w:line="276"/>
      </w:pPr>
      <w:r>
        <w:rPr>
          <w:rFonts w:ascii="Aptos" w:cs="Aptos" w:eastAsia="Aptos" w:hAnsi="Aptos"/>
          <w:b/>
          <w:bCs/>
          <w:sz w:val="21"/>
          <w:szCs w:val="21"/>
        </w:rPr>
        <w:t xml:space="preserve">Semantic HTML throughout. </w:t>
      </w:r>
      <w:r>
        <w:rPr>
          <w:rFonts w:ascii="Consolas" w:cs="Consolas" w:eastAsia="Consolas" w:hAnsi="Consolas"/>
          <w:sz w:val="17"/>
          <w:szCs w:val="17"/>
        </w:rPr>
        <w:t xml:space="preserve">&lt;main&gt;</w:t>
      </w:r>
      <w:r>
        <w:rPr>
          <w:rFonts w:ascii="Aptos" w:cs="Aptos" w:eastAsia="Aptos" w:hAnsi="Aptos"/>
          <w:sz w:val="21"/>
          <w:szCs w:val="21"/>
        </w:rPr>
        <w:t xml:space="preserve">, </w:t>
      </w:r>
      <w:r>
        <w:rPr>
          <w:rFonts w:ascii="Consolas" w:cs="Consolas" w:eastAsia="Consolas" w:hAnsi="Consolas"/>
          <w:sz w:val="17"/>
          <w:szCs w:val="17"/>
        </w:rPr>
        <w:t xml:space="preserve">&lt;article&gt;</w:t>
      </w:r>
      <w:r>
        <w:rPr>
          <w:rFonts w:ascii="Aptos" w:cs="Aptos" w:eastAsia="Aptos" w:hAnsi="Aptos"/>
          <w:sz w:val="21"/>
          <w:szCs w:val="21"/>
        </w:rPr>
        <w:t xml:space="preserve">, </w:t>
      </w:r>
      <w:r>
        <w:rPr>
          <w:rFonts w:ascii="Consolas" w:cs="Consolas" w:eastAsia="Consolas" w:hAnsi="Consolas"/>
          <w:sz w:val="17"/>
          <w:szCs w:val="17"/>
        </w:rPr>
        <w:t xml:space="preserve">&lt;section&gt;</w:t>
      </w:r>
      <w:r>
        <w:rPr>
          <w:rFonts w:ascii="Aptos" w:cs="Aptos" w:eastAsia="Aptos" w:hAnsi="Aptos"/>
          <w:sz w:val="21"/>
          <w:szCs w:val="21"/>
        </w:rPr>
        <w:t xml:space="preserve">, real headings in order, real tables, real lists. Extraction quality depends directly on it.</w:t>
      </w:r>
    </w:p>
    <w:p>
      <w:pPr>
        <w:pStyle w:val="ListParagraph"/>
        <w:numPr>
          <w:ilvl w:val="0"/>
          <w:numId w:val="3"/>
        </w:numPr>
        <w:spacing w:after="60" w:line="276"/>
      </w:pPr>
      <w:r>
        <w:rPr>
          <w:rFonts w:ascii="Aptos" w:cs="Aptos" w:eastAsia="Aptos" w:hAnsi="Aptos"/>
          <w:b/>
          <w:bCs/>
          <w:sz w:val="21"/>
          <w:szCs w:val="21"/>
        </w:rPr>
        <w:t xml:space="preserve">No content behind interaction. </w:t>
      </w:r>
      <w:r>
        <w:rPr>
          <w:rFonts w:ascii="Aptos" w:cs="Aptos" w:eastAsia="Aptos" w:hAnsi="Aptos"/>
          <w:sz w:val="21"/>
          <w:szCs w:val="21"/>
        </w:rPr>
        <w:t xml:space="preserve">Tabs, accordions and carousels are fine as presentation, provided everything is in the source.</w:t>
      </w:r>
    </w:p>
    <w:p>
      <w:pPr>
        <w:pStyle w:val="ListParagraph"/>
        <w:numPr>
          <w:ilvl w:val="0"/>
          <w:numId w:val="3"/>
        </w:numPr>
        <w:spacing w:after="60" w:line="276"/>
      </w:pPr>
      <w:r>
        <w:rPr>
          <w:rFonts w:ascii="Aptos" w:cs="Aptos" w:eastAsia="Aptos" w:hAnsi="Aptos"/>
          <w:b/>
          <w:bCs/>
          <w:sz w:val="21"/>
          <w:szCs w:val="21"/>
        </w:rPr>
        <w:t xml:space="preserve">Fast and light. </w:t>
      </w:r>
      <w:r>
        <w:rPr>
          <w:rFonts w:ascii="Aptos" w:cs="Aptos" w:eastAsia="Aptos" w:hAnsi="Aptos"/>
          <w:sz w:val="21"/>
          <w:szCs w:val="21"/>
        </w:rPr>
        <w:t xml:space="preserve">Crawler budgets are real. A 6 MB hero image costs you crawl depth.</w:t>
      </w:r>
    </w:p>
    <w:p>
      <w:pPr>
        <w:spacing w:after="60"/>
      </w:pPr>
      <w:r>
        <w:rPr>
          <w:rFonts w:ascii="Aptos" w:cs="Aptos" w:eastAsia="Aptos" w:hAnsi="Aptos"/>
          <w:sz w:val="21"/>
          <w:szCs w:val="21"/>
        </w:rPr>
        <w:t xml:space="preserve"/>
      </w:r>
    </w:p>
    <w:tbl>
      <w:tblPr>
        <w:tblW w:type="dxa" w:w="9026"/>
        <w:tblBorders>
          <w:top w:val="single" w:color="F2F5FA" w:sz="2"/>
          <w:left w:val="single" w:color="1F6FEB" w:sz="16"/>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50"/>
              <w:left w:type="dxa" w:w="210"/>
              <w:bottom w:type="dxa" w:w="150"/>
              <w:right w:type="dxa" w:w="210"/>
            </w:tcMar>
          </w:tcPr>
          <w:p>
            <w:r>
              <w:rPr>
                <w:rFonts w:ascii="Aptos" w:cs="Aptos" w:eastAsia="Aptos" w:hAnsi="Aptos"/>
                <w:b/>
                <w:bCs/>
                <w:sz w:val="20"/>
                <w:szCs w:val="20"/>
              </w:rPr>
              <w:t xml:space="preserve">One decision needed from the business: </w:t>
            </w:r>
            <w:r>
              <w:rPr>
                <w:rFonts w:ascii="Aptos" w:cs="Aptos" w:eastAsia="Aptos" w:hAnsi="Aptos"/>
                <w:sz w:val="20"/>
                <w:szCs w:val="20"/>
              </w:rPr>
              <w:t xml:space="preserve">whether to allow AI crawlers at all. Allowing them means assistants can cite this page when a licensee asks about NEPRA compliance — which, for an audience of 87 executives who are more likely to ask an assistant than to run a search, is probably the highest-value channel this page has. Blocking them protects content from training use. It cannot be both. Check what robots.txt currently says before assuming.</w:t>
            </w:r>
          </w:p>
        </w:tc>
      </w:tr>
    </w:tbl>
    <w:p>
      <w:pPr>
        <w:pStyle w:val="Heading2"/>
        <w:spacing w:after="110" w:before="280"/>
      </w:pPr>
      <w:r>
        <w:rPr>
          <w:rFonts w:ascii="Aptos" w:cs="Aptos" w:eastAsia="Aptos" w:hAnsi="Aptos"/>
          <w:b/>
          <w:bCs/>
          <w:color w:val="0A1B3D"/>
          <w:sz w:val="25"/>
          <w:szCs w:val="25"/>
        </w:rPr>
        <w:t xml:space="preserve">Internal linking</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600"/>
        <w:gridCol w:w="3400"/>
        <w:gridCol w:w="3026"/>
      </w:tblGrid>
      <w:tr>
        <w:trPr>
          <w:tblHeader/>
        </w:trPr>
        <w:tc>
          <w:tcPr>
            <w:tcW w:type="dxa" w:w="2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From</w:t>
            </w:r>
          </w:p>
        </w:tc>
        <w:tc>
          <w:tcPr>
            <w:tcW w:type="dxa" w:w="34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Anchor text</w:t>
            </w:r>
          </w:p>
        </w:tc>
        <w:tc>
          <w:tcPr>
            <w:tcW w:type="dxa" w:w="30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To</w:t>
            </w:r>
          </w:p>
        </w:tc>
      </w:tr>
      <w:tr>
        <w:tc>
          <w:tcPr>
            <w:tcW w:type="dxa" w:w="2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Homepage NEPRA band</w:t>
            </w:r>
          </w:p>
        </w:tc>
        <w:tc>
          <w:tcPr>
            <w:tcW w:type="dxa" w:w="3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See NEPRA Compliance Services</w:t>
            </w:r>
          </w:p>
        </w:tc>
        <w:tc>
          <w:tcPr>
            <w:tcW w:type="dxa" w:w="3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This page</w:t>
            </w:r>
          </w:p>
        </w:tc>
      </w:tr>
      <w:tr>
        <w:tc>
          <w:tcPr>
            <w:tcW w:type="dxa" w:w="2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Homepage capability card</w:t>
            </w:r>
          </w:p>
        </w:tc>
        <w:tc>
          <w:tcPr>
            <w:tcW w:type="dxa" w:w="34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 IT/OT Compliance</w:t>
            </w:r>
          </w:p>
        </w:tc>
        <w:tc>
          <w:tcPr>
            <w:tcW w:type="dxa" w:w="30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This page</w:t>
            </w:r>
          </w:p>
        </w:tc>
      </w:tr>
      <w:tr>
        <w:tc>
          <w:tcPr>
            <w:tcW w:type="dxa" w:w="2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Cyber Security Services page</w:t>
            </w:r>
          </w:p>
        </w:tc>
        <w:tc>
          <w:tcPr>
            <w:tcW w:type="dxa" w:w="3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NEPRA IT/OT compliance audits</w:t>
            </w:r>
          </w:p>
        </w:tc>
        <w:tc>
          <w:tcPr>
            <w:tcW w:type="dxa" w:w="3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This page</w:t>
            </w:r>
          </w:p>
        </w:tc>
      </w:tr>
      <w:tr>
        <w:tc>
          <w:tcPr>
            <w:tcW w:type="dxa" w:w="2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This page → Cyber Security Services</w:t>
            </w:r>
          </w:p>
        </w:tc>
        <w:tc>
          <w:tcPr>
            <w:tcW w:type="dxa" w:w="34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penetration testing and security assessment</w:t>
            </w:r>
          </w:p>
        </w:tc>
        <w:tc>
          <w:tcPr>
            <w:tcW w:type="dxa" w:w="30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Existing service page</w:t>
            </w:r>
          </w:p>
        </w:tc>
      </w:tr>
      <w:tr>
        <w:tc>
          <w:tcPr>
            <w:tcW w:type="dxa" w:w="2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This page → About</w:t>
            </w:r>
          </w:p>
        </w:tc>
        <w:tc>
          <w:tcPr>
            <w:tcW w:type="dxa" w:w="3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ISO 27001 and ISO 42001 Lead Auditors</w:t>
            </w:r>
          </w:p>
        </w:tc>
        <w:tc>
          <w:tcPr>
            <w:tcW w:type="dxa" w:w="3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About / team page</w:t>
            </w:r>
          </w:p>
        </w:tc>
      </w:tr>
    </w:tbl>
    <w:p>
      <w:pPr>
        <w:spacing w:after="120"/>
      </w:pPr>
      <w:r>
        <w:rPr>
          <w:rFonts w:ascii="Aptos" w:cs="Aptos" w:eastAsia="Aptos" w:hAnsi="Aptos"/>
          <w:sz w:val="21"/>
          <w:szCs w:val="21"/>
        </w:rPr>
        <w:t xml:space="preserve"/>
      </w:r>
    </w:p>
    <w:p>
      <w:pPr>
        <w:spacing w:after="120" w:line="276"/>
      </w:pPr>
      <w:r>
        <w:rPr>
          <w:rFonts w:ascii="Aptos" w:cs="Aptos" w:eastAsia="Aptos" w:hAnsi="Aptos"/>
          <w:b/>
          <w:bCs/>
          <w:sz w:val="21"/>
          <w:szCs w:val="21"/>
        </w:rPr>
        <w:t xml:space="preserve">Vary the anchor text. </w:t>
      </w:r>
      <w:r>
        <w:rPr>
          <w:rFonts w:ascii="Aptos" w:cs="Aptos" w:eastAsia="Aptos" w:hAnsi="Aptos"/>
          <w:sz w:val="21"/>
          <w:szCs w:val="21"/>
        </w:rPr>
        <w:t xml:space="preserve">Three inbound links all reading “NEPRA compliance services” is a weaker signal than three that read naturally and differently.</w:t>
      </w:r>
    </w:p>
    <w:p>
      <w:pPr>
        <w:pStyle w:val="Heading2"/>
        <w:spacing w:after="110" w:before="280"/>
      </w:pPr>
      <w:r>
        <w:rPr>
          <w:rFonts w:ascii="Aptos" w:cs="Aptos" w:eastAsia="Aptos" w:hAnsi="Aptos"/>
          <w:b/>
          <w:bCs/>
          <w:color w:val="0A1B3D"/>
          <w:sz w:val="25"/>
          <w:szCs w:val="25"/>
        </w:rPr>
        <w:t xml:space="preserve">Image alt text</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600"/>
        <w:gridCol w:w="6426"/>
      </w:tblGrid>
      <w:tr>
        <w:trPr>
          <w:tblHeader/>
        </w:trPr>
        <w:tc>
          <w:tcPr>
            <w:tcW w:type="dxa" w:w="2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Image</w:t>
            </w:r>
          </w:p>
        </w:tc>
        <w:tc>
          <w:tcPr>
            <w:tcW w:type="dxa" w:w="64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Alt text</w:t>
            </w:r>
          </w:p>
        </w:tc>
      </w:tr>
      <w:tr>
        <w:tc>
          <w:tcPr>
            <w:tcW w:type="dxa" w:w="2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Hero visual</w:t>
            </w:r>
          </w:p>
        </w:tc>
        <w:tc>
          <w:tcPr>
            <w:tcW w:type="dxa" w:w="64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High-voltage transmission infrastructure in Pakistan</w:t>
            </w:r>
          </w:p>
        </w:tc>
      </w:tr>
      <w:tr>
        <w:tc>
          <w:tcPr>
            <w:tcW w:type="dxa" w:w="2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Audit icon</w:t>
            </w:r>
          </w:p>
        </w:tc>
        <w:tc>
          <w:tcPr>
            <w:tcW w:type="dxa" w:w="64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NEPRA compliance audit</w:t>
            </w:r>
          </w:p>
        </w:tc>
      </w:tr>
      <w:tr>
        <w:tc>
          <w:tcPr>
            <w:tcW w:type="dxa" w:w="2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VAPT icon</w:t>
            </w:r>
          </w:p>
        </w:tc>
        <w:tc>
          <w:tcPr>
            <w:tcW w:type="dxa" w:w="64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IT and OT penetration testing</w:t>
            </w:r>
          </w:p>
        </w:tc>
      </w:tr>
      <w:tr>
        <w:tc>
          <w:tcPr>
            <w:tcW w:type="dxa" w:w="2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Policy icon</w:t>
            </w:r>
          </w:p>
        </w:tc>
        <w:tc>
          <w:tcPr>
            <w:tcW w:type="dxa" w:w="64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policy framework</w:t>
            </w:r>
          </w:p>
        </w:tc>
      </w:tr>
      <w:tr>
        <w:tc>
          <w:tcPr>
            <w:tcW w:type="dxa" w:w="2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Training icon</w:t>
            </w:r>
          </w:p>
        </w:tc>
        <w:tc>
          <w:tcPr>
            <w:tcW w:type="dxa" w:w="64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Cybersecurity awareness training</w:t>
            </w:r>
          </w:p>
        </w:tc>
      </w:tr>
    </w:tbl>
    <w:p>
      <w:pPr>
        <w:spacing w:after="120"/>
      </w:pPr>
      <w:r>
        <w:rPr>
          <w:rFonts w:ascii="Aptos" w:cs="Aptos" w:eastAsia="Aptos" w:hAnsi="Aptos"/>
          <w:sz w:val="21"/>
          <w:szCs w:val="21"/>
        </w:rPr>
        <w:t xml:space="preserve"/>
      </w:r>
    </w:p>
    <w:p>
      <w:pPr>
        <w:spacing w:after="120" w:line="276"/>
      </w:pPr>
      <w:r>
        <w:rPr>
          <w:rFonts w:ascii="Aptos" w:cs="Aptos" w:eastAsia="Aptos" w:hAnsi="Aptos"/>
          <w:sz w:val="21"/>
          <w:szCs w:val="21"/>
        </w:rPr>
        <w:t xml:space="preserve">Decorative icons may take empty alt if they sit beside a text label that already says the same thing. Do not keyword-stuff alt text — “NEPRA compliance audit NEPRA IT OT Pakistan” is a spam signal, not a ranking one.</w:t>
      </w:r>
    </w:p>
    <w:p>
      <w:r>
        <w:br w:type="page"/>
      </w:r>
    </w:p>
    <w:p>
      <w:pPr>
        <w:pStyle w:val="Heading1"/>
        <w:spacing w:after="140" w:before="360"/>
      </w:pPr>
      <w:r>
        <w:rPr>
          <w:rFonts w:ascii="Aptos" w:cs="Aptos" w:eastAsia="Aptos" w:hAnsi="Aptos"/>
          <w:b/>
          <w:bCs/>
          <w:color w:val="0A1B3D"/>
          <w:sz w:val="32"/>
          <w:szCs w:val="32"/>
        </w:rPr>
        <w:t xml:space="preserve">8. Measuring it</w:t>
      </w:r>
    </w:p>
    <w:p>
      <w:pPr>
        <w:spacing w:after="120" w:line="276"/>
      </w:pPr>
      <w:r>
        <w:rPr>
          <w:rFonts w:ascii="Aptos" w:cs="Aptos" w:eastAsia="Aptos" w:hAnsi="Aptos"/>
          <w:sz w:val="21"/>
          <w:szCs w:val="21"/>
        </w:rPr>
        <w:t xml:space="preserve">The campaign is 87 letters, so ordinary traffic metrics will be misleading — a page that gets 40 visits and three calls has succeeded. Measure accordingly.</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100"/>
        <w:gridCol w:w="3400"/>
        <w:gridCol w:w="3526"/>
      </w:tblGrid>
      <w:tr>
        <w:trPr>
          <w:tblHeader/>
        </w:trPr>
        <w:tc>
          <w:tcPr>
            <w:tcW w:type="dxa" w:w="21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What</w:t>
            </w:r>
          </w:p>
        </w:tc>
        <w:tc>
          <w:tcPr>
            <w:tcW w:type="dxa" w:w="34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How</w:t>
            </w:r>
          </w:p>
        </w:tc>
        <w:tc>
          <w:tcPr>
            <w:tcW w:type="dxa" w:w="35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Why it matters</w:t>
            </w:r>
          </w:p>
        </w:tc>
      </w:tr>
      <w:tr>
        <w:tc>
          <w:tcPr>
            <w:tcW w:type="dxa" w:w="21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Calls attributed to the page</w:t>
            </w:r>
          </w:p>
        </w:tc>
        <w:tc>
          <w:tcPr>
            <w:tcW w:type="dxa" w:w="3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The pre-filled email subject; ask on every inbound call how they found us</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The only real conversion signal. There is no form to track.</w:t>
            </w:r>
          </w:p>
        </w:tc>
      </w:tr>
      <w:tr>
        <w:tc>
          <w:tcPr>
            <w:tcW w:type="dxa" w:w="21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Impressions for “NEPRA” queries</w:t>
            </w:r>
          </w:p>
        </w:tc>
        <w:tc>
          <w:tcPr>
            <w:tcW w:type="dxa" w:w="34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Search Console, filter query contains “nepra”</w:t>
            </w:r>
          </w:p>
        </w:tc>
        <w:tc>
          <w:tcPr>
            <w:tcW w:type="dxa" w:w="3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Shows whether the page is entering the consideration set at all</w:t>
            </w:r>
          </w:p>
        </w:tc>
      </w:tr>
      <w:tr>
        <w:tc>
          <w:tcPr>
            <w:tcW w:type="dxa" w:w="21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Position for the four primary terms</w:t>
            </w:r>
          </w:p>
        </w:tc>
        <w:tc>
          <w:tcPr>
            <w:tcW w:type="dxa" w:w="3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Search Console, 8 and 16 weeks after launch</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Regulatory pages rank slowly; do not judge before week eight</w:t>
            </w:r>
          </w:p>
        </w:tc>
      </w:tr>
      <w:tr>
        <w:tc>
          <w:tcPr>
            <w:tcW w:type="dxa" w:w="21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AI citation</w:t>
            </w:r>
          </w:p>
        </w:tc>
        <w:tc>
          <w:tcPr>
            <w:tcW w:type="dxa" w:w="34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Ask ChatGPT, Claude, Perplexity and Gemini the nine questions in section 3 monthly</w:t>
            </w:r>
          </w:p>
        </w:tc>
        <w:tc>
          <w:tcPr>
            <w:tcW w:type="dxa" w:w="3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The only practical way to measure AEO today. Crude, but it is what exists.</w:t>
            </w:r>
          </w:p>
        </w:tc>
      </w:tr>
      <w:tr>
        <w:tc>
          <w:tcPr>
            <w:tcW w:type="dxa" w:w="21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Coverage table engagement</w:t>
            </w:r>
          </w:p>
        </w:tc>
        <w:tc>
          <w:tcPr>
            <w:tcW w:type="dxa" w:w="3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Scroll depth to block 04</w:t>
            </w:r>
          </w:p>
        </w:tc>
        <w:tc>
          <w:tcPr>
            <w:tcW w:type="dxa" w:w="3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If readers are not reaching the table, the blocks above it are too long</w:t>
            </w:r>
          </w:p>
        </w:tc>
      </w:tr>
    </w:tbl>
    <w:p>
      <w:pPr>
        <w:pStyle w:val="Heading1"/>
        <w:spacing w:after="140" w:before="360"/>
      </w:pPr>
      <w:r>
        <w:rPr>
          <w:rFonts w:ascii="Aptos" w:cs="Aptos" w:eastAsia="Aptos" w:hAnsi="Aptos"/>
          <w:b/>
          <w:bCs/>
          <w:color w:val="0A1B3D"/>
          <w:sz w:val="32"/>
          <w:szCs w:val="32"/>
        </w:rPr>
        <w:t xml:space="preserve">9. Open items</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600"/>
        <w:gridCol w:w="4700"/>
        <w:gridCol w:w="1500"/>
        <w:gridCol w:w="2226"/>
      </w:tblGrid>
      <w:tr>
        <w:trPr>
          <w:tblHeader/>
        </w:trPr>
        <w:tc>
          <w:tcPr>
            <w:tcW w:type="dxa" w:w="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t>
            </w:r>
          </w:p>
        </w:tc>
        <w:tc>
          <w:tcPr>
            <w:tcW w:type="dxa" w:w="47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Item</w:t>
            </w:r>
          </w:p>
        </w:tc>
        <w:tc>
          <w:tcPr>
            <w:tcW w:type="dxa" w:w="15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Blocks</w:t>
            </w:r>
          </w:p>
        </w:tc>
        <w:tc>
          <w:tcPr>
            <w:tcW w:type="dxa" w:w="22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Owner</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1</w:t>
            </w:r>
          </w:p>
        </w:tc>
        <w:tc>
          <w:tcPr>
            <w:tcW w:type="dxa" w:w="47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Confirm whether NEPRA audits require a CERT-recognised Category-1 firm — see section 1</w:t>
            </w:r>
          </w:p>
        </w:tc>
        <w:tc>
          <w:tcPr>
            <w:tcW w:type="dxa" w:w="15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H1, 03, 07</w:t>
            </w:r>
          </w:p>
        </w:tc>
        <w:tc>
          <w:tcPr>
            <w:tcW w:type="dxa" w:w="22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 / NEPRA</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2</w:t>
            </w:r>
          </w:p>
        </w:tc>
        <w:tc>
          <w:tcPr>
            <w:tcW w:type="dxa" w:w="47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Confirm the gazetted short title of the regulations</w:t>
            </w:r>
          </w:p>
        </w:tc>
        <w:tc>
          <w:tcPr>
            <w:tcW w:type="dxa" w:w="15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01, 02, 08</w:t>
            </w:r>
          </w:p>
        </w:tc>
        <w:tc>
          <w:tcPr>
            <w:tcW w:type="dxa" w:w="22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3</w:t>
            </w:r>
          </w:p>
        </w:tc>
        <w:tc>
          <w:tcPr>
            <w:tcW w:type="dxa" w:w="47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Confirm the 72-hour significant-incident deadline</w:t>
            </w:r>
          </w:p>
        </w:tc>
        <w:tc>
          <w:tcPr>
            <w:tcW w:type="dxa" w:w="15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02, 04, 08</w:t>
            </w:r>
          </w:p>
        </w:tc>
        <w:tc>
          <w:tcPr>
            <w:tcW w:type="dxa" w:w="22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4</w:t>
            </w:r>
          </w:p>
        </w:tc>
        <w:tc>
          <w:tcPr>
            <w:tcW w:type="dxa" w:w="47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Permission for the anonymised 30 MW wind IPP reference</w:t>
            </w:r>
          </w:p>
        </w:tc>
        <w:tc>
          <w:tcPr>
            <w:tcW w:type="dxa" w:w="15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07</w:t>
            </w:r>
          </w:p>
        </w:tc>
        <w:tc>
          <w:tcPr>
            <w:tcW w:type="dxa" w:w="22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Legal / account owner</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5</w:t>
            </w:r>
          </w:p>
        </w:tc>
        <w:tc>
          <w:tcPr>
            <w:tcW w:type="dxa" w:w="47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Whether to claim NIST / IEC 62443 / MITRE ATT&amp;CK alignment</w:t>
            </w:r>
          </w:p>
        </w:tc>
        <w:tc>
          <w:tcPr>
            <w:tcW w:type="dxa" w:w="15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07</w:t>
            </w:r>
          </w:p>
        </w:tc>
        <w:tc>
          <w:tcPr>
            <w:tcW w:type="dxa" w:w="22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6</w:t>
            </w:r>
          </w:p>
        </w:tc>
        <w:tc>
          <w:tcPr>
            <w:tcW w:type="dxa" w:w="47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Whether to publish an audit duration</w:t>
            </w:r>
          </w:p>
        </w:tc>
        <w:tc>
          <w:tcPr>
            <w:tcW w:type="dxa" w:w="15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08</w:t>
            </w:r>
          </w:p>
        </w:tc>
        <w:tc>
          <w:tcPr>
            <w:tcW w:type="dxa" w:w="22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Sales</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7</w:t>
            </w:r>
          </w:p>
        </w:tc>
        <w:tc>
          <w:tcPr>
            <w:tcW w:type="dxa" w:w="47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Decide whether AI crawlers are allowed in robots.txt</w:t>
            </w:r>
          </w:p>
        </w:tc>
        <w:tc>
          <w:tcPr>
            <w:tcW w:type="dxa" w:w="15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Sitewide</w:t>
            </w:r>
          </w:p>
        </w:tc>
        <w:tc>
          <w:tcPr>
            <w:tcW w:type="dxa" w:w="22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Business / marketing</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8</w:t>
            </w:r>
          </w:p>
        </w:tc>
        <w:tc>
          <w:tcPr>
            <w:tcW w:type="dxa" w:w="47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Run the four primary terms through a keyword tool for real volumes</w:t>
            </w:r>
          </w:p>
        </w:tc>
        <w:tc>
          <w:tcPr>
            <w:tcW w:type="dxa" w:w="15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Section 3</w:t>
            </w:r>
          </w:p>
        </w:tc>
        <w:tc>
          <w:tcPr>
            <w:tcW w:type="dxa" w:w="22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Marketing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A6472"/>
        <w:sz w:val="16"/>
        <w:szCs w:val="16"/>
      </w:rPr>
      <w:t xml:space="preserve">/services/nepra-it-ot-compliance    </w:t>
    </w:r>
    <w:r>
      <w:rPr>
        <w:rFonts w:ascii="Aptos" w:cs="Aptos" w:eastAsia="Aptos" w:hAnsi="Aptos"/>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4"/>
      </w:pBdr>
      <w:spacing w:after="60"/>
      <w:jc w:val="right"/>
    </w:pPr>
    <w:r>
      <w:rPr>
        <w:rFonts w:ascii="Aptos" w:cs="Aptos" w:eastAsia="Aptos" w:hAnsi="Aptos"/>
        <w:color w:val="5A6472"/>
        <w:sz w:val="16"/>
        <w:szCs w:val="16"/>
      </w:rPr>
      <w:t xml:space="preserve">NEPRA Landing Page  ·  SEO &amp; AEO Optimised Content  ·  xLoop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NEPRA Landing Page — SEO &amp; AEO Optimised Content</dc:title>
  <dc:creator>xLoop Digital</dc:creator>
  <dc:description>Keyword strategy, optimised copy, schema and answer-engine guidance for /services/nepra-it-ot-compliance</dc:description>
  <cp:lastModifiedBy>Un-named</cp:lastModifiedBy>
  <cp:revision>1</cp:revision>
  <dcterms:created xsi:type="dcterms:W3CDTF">2026-08-25T13:18:43.258Z</dcterms:created>
  <dcterms:modified xsi:type="dcterms:W3CDTF">2026-08-25T13:18:43.259Z</dcterms:modified>
</cp:coreProperties>
</file>

<file path=docProps/custom.xml><?xml version="1.0" encoding="utf-8"?>
<Properties xmlns="http://schemas.openxmlformats.org/officeDocument/2006/custom-properties" xmlns:vt="http://schemas.openxmlformats.org/officeDocument/2006/docPropsVTypes"/>
</file>