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Calibri" w:cs="Calibri" w:eastAsia="Calibri" w:hAnsi="Calibri"/>
          <w:b/>
          <w:bCs/>
          <w:color w:val="5A5A6E"/>
          <w:sz w:val="20"/>
          <w:szCs w:val="20"/>
        </w:rPr>
        <w:t xml:space="preserve">xLOOP DIGITAL</w:t>
      </w:r>
    </w:p>
    <w:p>
      <w:pPr>
        <w:spacing w:after="100"/>
      </w:pPr>
      <w:r>
        <w:rPr>
          <w:rFonts w:ascii="Calibri" w:cs="Calibri" w:eastAsia="Calibri" w:hAnsi="Calibri"/>
          <w:b/>
          <w:bCs/>
          <w:color w:val="1B1B3A"/>
          <w:sz w:val="48"/>
          <w:szCs w:val="48"/>
        </w:rPr>
        <w:t xml:space="preserve">Digital Transformation Pillar Page</w:t>
      </w:r>
    </w:p>
    <w:p>
      <w:pPr>
        <w:spacing w:after="320"/>
      </w:pPr>
      <w:r>
        <w:rPr>
          <w:rFonts w:ascii="Calibri" w:cs="Calibri" w:eastAsia="Calibri" w:hAnsi="Calibri"/>
          <w:color w:val="2E5AAC"/>
          <w:sz w:val="26"/>
          <w:szCs w:val="26"/>
        </w:rPr>
        <w:t xml:space="preserve">Content specification for design and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Cluster hub — parent of five service pages</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Status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 for build. Three dependencies outstanding (see §9)</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Version</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v2.1 — US spelling; supersedes v2 and the original brief</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Date</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17 September 2026</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Owner</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Marketing</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Claims checked against</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approved_claims.md · prohibited_claims.md (Marketing Brain, Release 1)</w:t>
            </w:r>
          </w:p>
        </w:tc>
      </w:tr>
    </w:tbl>
    <w:p>
      <w:pPr>
        <w:spacing w:after="240"/>
      </w:pPr>
      <w:r>
        <w:rPr>
          <w:sz w:val="2"/>
          <w:szCs w:val="2"/>
        </w:rPr>
        <w:t xml:space="preserve"/>
      </w:r>
    </w:p>
    <w:p>
      <w:pPr>
        <w:spacing w:after="160" w:before="80"/>
      </w:pPr>
      <w:r>
        <w:rPr>
          <w:rFonts w:ascii="Calibri" w:cs="Calibri" w:eastAsia="Calibri" w:hAnsi="Calibri"/>
          <w:b/>
          <w:bCs/>
          <w:color w:val="5A5A6E"/>
          <w:sz w:val="19"/>
          <w:szCs w:val="19"/>
        </w:rPr>
        <w:t xml:space="preserve">How to read this document. </w:t>
      </w:r>
      <w:r>
        <w:rPr>
          <w:rFonts w:ascii="Calibri" w:cs="Calibri" w:eastAsia="Calibri" w:hAnsi="Calibri"/>
          <w:i/>
          <w:iCs/>
          <w:color w:val="5A5A6E"/>
          <w:sz w:val="19"/>
          <w:szCs w:val="19"/>
        </w:rPr>
        <w:t xml:space="preserve">Blue-edged boxes are final copy — set them as written. Everything outside a box is instruction for design or development. Nothing in this document may be reworded without a claims check; several sentences are load-bearing for compliance reasons flagged in §10.</w:t>
      </w:r>
    </w:p>
    <w:p>
      <w:r>
        <w:br w:type="page"/>
      </w:r>
    </w:p>
    <w:p>
      <w:pPr>
        <w:pStyle w:val="Heading1"/>
        <w:spacing w:after="160" w:before="360"/>
      </w:pPr>
      <w:r>
        <w:rPr>
          <w:rFonts w:ascii="Calibri" w:cs="Calibri" w:eastAsia="Calibri" w:hAnsi="Calibri"/>
          <w:b/>
          <w:bCs/>
          <w:color w:val="1B1B3A"/>
          <w:sz w:val="32"/>
          <w:szCs w:val="32"/>
        </w:rPr>
        <w:t xml:space="preserve">1. Where this page sits</w:t>
      </w:r>
    </w:p>
    <w:p>
      <w:pPr>
        <w:spacing w:after="120" w:before="0"/>
      </w:pPr>
      <w:r>
        <w:rPr>
          <w:rFonts w:ascii="Calibri" w:cs="Calibri" w:eastAsia="Calibri" w:hAnsi="Calibri"/>
          <w:sz w:val="21"/>
          <w:szCs w:val="21"/>
        </w:rPr>
        <w:t xml:space="preserve">This is the hub of the Digital Transformation cluster. It does not sell a service itself — it routes five service pages and carries the argument that holds them together.</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360"/>
        <w:gridCol w:w="1600"/>
      </w:tblGrid>
      <w:tr>
        <w:trPr>
          <w:tblHeader/>
        </w:trPr>
        <w:tc>
          <w:tcPr>
            <w:tcW w:type="dxa" w:w="3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Page</w:t>
            </w:r>
          </w:p>
        </w:tc>
        <w:tc>
          <w:tcPr>
            <w:tcW w:type="dxa" w:w="4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Role in the cluster</w:t>
            </w:r>
          </w:p>
        </w:tc>
        <w:tc>
          <w:tcPr>
            <w:tcW w:type="dxa" w:w="1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Status</w:t>
            </w:r>
          </w:p>
        </w:tc>
      </w:tr>
      <w:tr>
        <w:tc>
          <w:tcPr>
            <w:tcW w:type="dxa" w:w="3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c>
          <w:tcPr>
            <w:tcW w:type="dxa" w:w="4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CLUSTER HUB — this document</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To build</w:t>
            </w:r>
          </w:p>
        </w:tc>
      </w:tr>
      <w:tr>
        <w:tc>
          <w:tcPr>
            <w:tcW w:type="dxa" w:w="3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c>
          <w:tcPr>
            <w:tcW w:type="dxa" w:w="4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platforms and engineering</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Live</w:t>
            </w:r>
          </w:p>
        </w:tc>
      </w:tr>
      <w:tr>
        <w:tc>
          <w:tcPr>
            <w:tcW w:type="dxa" w:w="3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c>
          <w:tcPr>
            <w:tcW w:type="dxa" w:w="4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Cloud architecture and migration</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Live</w:t>
            </w:r>
          </w:p>
        </w:tc>
      </w:tr>
      <w:tr>
        <w:tc>
          <w:tcPr>
            <w:tcW w:type="dxa" w:w="3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c>
          <w:tcPr>
            <w:tcW w:type="dxa" w:w="4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To build — must be live first</w:t>
            </w:r>
          </w:p>
        </w:tc>
      </w:tr>
      <w:tr>
        <w:tc>
          <w:tcPr>
            <w:tcW w:type="dxa" w:w="3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/services/web-and-app-development</w:t>
            </w:r>
          </w:p>
        </w:tc>
        <w:tc>
          <w:tcPr>
            <w:tcW w:type="dxa" w:w="4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we build — applications</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Live</w:t>
            </w:r>
          </w:p>
        </w:tc>
      </w:tr>
      <w:tr>
        <w:tc>
          <w:tcPr>
            <w:tcW w:type="dxa" w:w="3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/digital-engineering</w:t>
            </w:r>
          </w:p>
        </w:tc>
        <w:tc>
          <w:tcPr>
            <w:tcW w:type="dxa" w:w="4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we build — engineering practice</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Live, needs narrowing</w:t>
            </w:r>
          </w:p>
        </w:tc>
      </w:tr>
    </w:tbl>
    <w:p>
      <w:pPr>
        <w:spacing w:after="140"/>
      </w:pPr>
      <w:r>
        <w:rPr>
          <w:sz w:val="2"/>
          <w:szCs w:val="2"/>
        </w:rPr>
        <w:t xml:space="preserve"/>
      </w:r>
    </w:p>
    <w:p>
      <w:pPr>
        <w:pStyle w:val="Heading2"/>
        <w:spacing w:after="140" w:before="300"/>
      </w:pPr>
      <w:r>
        <w:rPr>
          <w:rFonts w:ascii="Calibri" w:cs="Calibri" w:eastAsia="Calibri" w:hAnsi="Calibri"/>
          <w:b/>
          <w:bCs/>
          <w:color w:val="2E5AAC"/>
          <w:sz w:val="26"/>
          <w:szCs w:val="26"/>
        </w:rPr>
        <w:t xml:space="preserve">Required before this page ships</w:t>
      </w:r>
    </w:p>
    <w:p>
      <w:pPr>
        <w:spacing w:after="120" w:before="0"/>
      </w:pPr>
      <w:r>
        <w:rPr>
          <w:rFonts w:ascii="Calibri" w:cs="Calibri" w:eastAsia="Calibri" w:hAnsi="Calibri"/>
          <w:b/>
          <w:bCs/>
          <w:sz w:val="21"/>
          <w:szCs w:val="21"/>
        </w:rPr>
        <w:t xml:space="preserve">Two of the five children need work, or this hub will compete with its own cluster.</w:t>
      </w:r>
    </w:p>
    <w:p>
      <w:pPr>
        <w:spacing w:after="40"/>
      </w:pPr>
      <w:r>
        <w:rPr>
          <w:sz w:val="2"/>
          <w:szCs w:val="2"/>
        </w:rPr>
        <w:t xml:space="preserve"/>
      </w:r>
    </w:p>
    <w:p>
      <w:pPr>
        <w:pStyle w:val="Heading3"/>
        <w:spacing w:after="100" w:before="220"/>
      </w:pPr>
      <w:r>
        <w:rPr>
          <w:rFonts w:ascii="Calibri" w:cs="Calibri" w:eastAsia="Calibri" w:hAnsi="Calibri"/>
          <w:b/>
          <w:bCs/>
          <w:color w:val="1B1B3A"/>
          <w:sz w:val="22"/>
          <w:szCs w:val="22"/>
        </w:rPr>
        <w:t xml:space="preserve">/digital-engineering — narrow it</w:t>
      </w:r>
    </w:p>
    <w:p>
      <w:pPr>
        <w:spacing w:after="120" w:before="0"/>
      </w:pPr>
      <w:r>
        <w:rPr>
          <w:rFonts w:ascii="Calibri" w:cs="Calibri" w:eastAsia="Calibri" w:hAnsi="Calibri"/>
          <w:sz w:val="21"/>
          <w:szCs w:val="21"/>
        </w:rPr>
        <w:t xml:space="preserve">The page currently covers Data &amp; Analytics, Cloud Services and AI &amp; ML, and carries the H2 "Facing Digital Transformation Challenges?". That is the hub’s job now. Five edits:</w:t>
      </w:r>
    </w:p>
    <w:p>
      <w:pPr>
        <w:pStyle w:val="ListParagraph"/>
        <w:numPr>
          <w:ilvl w:val="0"/>
          <w:numId w:val="2"/>
        </w:numPr>
        <w:spacing w:after="80"/>
      </w:pPr>
      <w:r>
        <w:rPr>
          <w:rFonts w:ascii="Calibri" w:cs="Calibri" w:eastAsia="Calibri" w:hAnsi="Calibri"/>
          <w:sz w:val="21"/>
          <w:szCs w:val="21"/>
        </w:rPr>
        <w:t xml:space="preserve">Replace the H2 "Facing Digital Transformation Challenges?" with a build-side framing, e.g. "Facing product delivery challenges?"</w:t>
      </w:r>
    </w:p>
    <w:p>
      <w:pPr>
        <w:pStyle w:val="ListParagraph"/>
        <w:numPr>
          <w:ilvl w:val="0"/>
          <w:numId w:val="2"/>
        </w:numPr>
        <w:spacing w:after="80"/>
      </w:pPr>
      <w:r>
        <w:rPr>
          <w:rFonts w:ascii="Calibri" w:cs="Calibri" w:eastAsia="Calibri" w:hAnsi="Calibri"/>
          <w:sz w:val="21"/>
          <w:szCs w:val="21"/>
        </w:rPr>
        <w:t xml:space="preserve">Remove the Data &amp; Analytics, Cloud Services and AI &amp; ML service cards. Point those at the hub and at Applied AI. Keep Web &amp; Mobile App, Software Development and POC &amp; MVP; add Platform/DevOps and QA.</w:t>
      </w:r>
    </w:p>
    <w:p>
      <w:pPr>
        <w:pStyle w:val="ListParagraph"/>
        <w:numPr>
          <w:ilvl w:val="0"/>
          <w:numId w:val="2"/>
        </w:numPr>
        <w:spacing w:after="80"/>
      </w:pPr>
      <w:r>
        <w:rPr>
          <w:rFonts w:ascii="Calibri" w:cs="Calibri" w:eastAsia="Calibri" w:hAnsi="Calibri"/>
          <w:sz w:val="21"/>
          <w:szCs w:val="21"/>
        </w:rPr>
        <w:t xml:space="preserve">Move the data and cloud case cards to this hub. Keep the product and app ones.</w:t>
      </w:r>
    </w:p>
    <w:p>
      <w:pPr>
        <w:pStyle w:val="ListParagraph"/>
        <w:numPr>
          <w:ilvl w:val="0"/>
          <w:numId w:val="2"/>
        </w:numPr>
        <w:spacing w:after="80"/>
      </w:pPr>
      <w:r>
        <w:rPr>
          <w:rFonts w:ascii="Calibri" w:cs="Calibri" w:eastAsia="Calibri" w:hAnsi="Calibri"/>
          <w:sz w:val="21"/>
          <w:szCs w:val="21"/>
        </w:rPr>
        <w:t xml:space="preserve">Do not target app-development head terms. /services/web-and-app-development earns 2,597 impressions at position 3.2 and must keep them.</w:t>
      </w:r>
    </w:p>
    <w:p>
      <w:pPr>
        <w:pStyle w:val="ListParagraph"/>
        <w:numPr>
          <w:ilvl w:val="0"/>
          <w:numId w:val="2"/>
        </w:numPr>
        <w:spacing w:after="80"/>
      </w:pPr>
      <w:r>
        <w:rPr>
          <w:rFonts w:ascii="Calibri" w:cs="Calibri" w:eastAsia="Calibri" w:hAnsi="Calibri"/>
          <w:sz w:val="21"/>
          <w:szCs w:val="21"/>
        </w:rPr>
        <w:t xml:space="preserve">Retitle to "Software &amp; Product Engineering | xLoop".</w:t>
      </w:r>
    </w:p>
    <w:p>
      <w:pPr>
        <w:spacing w:after="160" w:before="80"/>
      </w:pPr>
      <w:r>
        <w:rPr>
          <w:rFonts w:ascii="Calibri" w:cs="Calibri" w:eastAsia="Calibri" w:hAnsi="Calibri"/>
          <w:b/>
          <w:bCs/>
          <w:color w:val="5A5A6E"/>
          <w:sz w:val="19"/>
          <w:szCs w:val="19"/>
        </w:rPr>
        <w:t xml:space="preserve">Watch item. </w:t>
      </w:r>
      <w:r>
        <w:rPr>
          <w:rFonts w:ascii="Calibri" w:cs="Calibri" w:eastAsia="Calibri" w:hAnsi="Calibri"/>
          <w:i/>
          <w:iCs/>
          <w:color w:val="5A5A6E"/>
          <w:sz w:val="19"/>
          <w:szCs w:val="19"/>
        </w:rPr>
        <w:t xml:space="preserve">Digital Engineering and Web &amp; App Development sit adjacent. The boundary is practice versus deliverable. If Digital Engineering starts listing application types again, merge it into Web &amp; App Development and keep only the stronger URL.</w:t>
      </w:r>
    </w:p>
    <w:p>
      <w:pPr>
        <w:pStyle w:val="Heading3"/>
        <w:spacing w:after="100" w:before="220"/>
      </w:pPr>
      <w:r>
        <w:rPr>
          <w:rFonts w:ascii="Calibri" w:cs="Calibri" w:eastAsia="Calibri" w:hAnsi="Calibri"/>
          <w:b/>
          <w:bCs/>
          <w:color w:val="1B1B3A"/>
          <w:sz w:val="22"/>
          <w:szCs w:val="22"/>
        </w:rPr>
        <w:t xml:space="preserve">/services/legacy-system-modernization — build it first</w:t>
      </w:r>
    </w:p>
    <w:p>
      <w:pPr>
        <w:spacing w:after="120" w:before="0"/>
      </w:pPr>
      <w:r>
        <w:rPr>
          <w:rFonts w:ascii="Calibri" w:cs="Calibri" w:eastAsia="Calibri" w:hAnsi="Calibri"/>
          <w:sz w:val="21"/>
          <w:szCs w:val="21"/>
        </w:rPr>
        <w:t xml:space="preserve">This hub must not link to a page that does not exist. Build and publish the leaf, then ship the hub.</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7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 | xLoop</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Primary terms</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 legacy application modernization services · mainframe and RPG migration · application modernization consulting</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Proof available</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legacy RPG applications to private cloud with minimal operational disruption (anonymized)</w:t>
            </w:r>
          </w:p>
        </w:tc>
      </w:tr>
    </w:tbl>
    <w:p>
      <w:r>
        <w:br w:type="page"/>
      </w:r>
    </w:p>
    <w:p>
      <w:pPr>
        <w:pStyle w:val="Heading1"/>
        <w:spacing w:after="160" w:before="360"/>
      </w:pPr>
      <w:r>
        <w:rPr>
          <w:rFonts w:ascii="Calibri" w:cs="Calibri" w:eastAsia="Calibri" w:hAnsi="Calibri"/>
          <w:b/>
          <w:bCs/>
          <w:color w:val="1B1B3A"/>
          <w:sz w:val="32"/>
          <w:szCs w:val="32"/>
        </w:rPr>
        <w:t xml:space="preserve">2. Page setup —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4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Notes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Lower case, no trailing slash</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Services for Enterprise AI | xLoop</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57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Meta description</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Cloud, data and application modernization that makes enterprise AI work — migration, data platforms, custom applications and legacy modernization.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152 characters</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Canonical</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Self-referencing, absolute URL</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Currently missing sitewide</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That Makes Enterprise AI Work</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One H1 only</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Breadcrumb</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Schema</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 · FAQPage · BreadcrumbList · Organization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JSON-LD in server-rendered HTML</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Robots</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index, follow</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Last updated</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Visible date on the page</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E-E-A-T signal</w:t>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Development requirements</w:t>
      </w:r>
    </w:p>
    <w:p>
      <w:pPr>
        <w:pStyle w:val="ListParagraph"/>
        <w:numPr>
          <w:ilvl w:val="0"/>
          <w:numId w:val="3"/>
        </w:numPr>
        <w:spacing w:after="80"/>
      </w:pPr>
      <w:r>
        <w:rPr>
          <w:rFonts w:ascii="Calibri" w:cs="Calibri" w:eastAsia="Calibri" w:hAnsi="Calibri"/>
          <w:sz w:val="21"/>
          <w:szCs w:val="21"/>
        </w:rPr>
        <w:t xml:space="preserve">Fix the doubled brand suffix before this page ships. Every page currently renders "… | xLoop Digital | xLoop Digital" — the template appends the site name to a title that already contains it.</w:t>
      </w:r>
    </w:p>
    <w:p>
      <w:pPr>
        <w:pStyle w:val="ListParagraph"/>
        <w:numPr>
          <w:ilvl w:val="0"/>
          <w:numId w:val="3"/>
        </w:numPr>
        <w:spacing w:after="80"/>
      </w:pPr>
      <w:r>
        <w:rPr>
          <w:rFonts w:ascii="Calibri" w:cs="Calibri" w:eastAsia="Calibri" w:hAnsi="Calibri"/>
          <w:sz w:val="21"/>
          <w:szCs w:val="21"/>
        </w:rPr>
        <w:t xml:space="preserve">Server-render everything. Any content that appears only after client-side JavaScript may be invisible to both search crawlers and AI answer engines.</w:t>
      </w:r>
    </w:p>
    <w:p>
      <w:pPr>
        <w:pStyle w:val="ListParagraph"/>
        <w:numPr>
          <w:ilvl w:val="0"/>
          <w:numId w:val="3"/>
        </w:numPr>
        <w:spacing w:after="80"/>
      </w:pPr>
      <w:r>
        <w:rPr>
          <w:rFonts w:ascii="Calibri" w:cs="Calibri" w:eastAsia="Calibri" w:hAnsi="Calibri"/>
          <w:sz w:val="21"/>
          <w:szCs w:val="21"/>
        </w:rPr>
        <w:t xml:space="preserve">The FAQ accordion must have all nine answers in the initial HTML. Collapse them visually, do not inject them on click.</w:t>
      </w:r>
    </w:p>
    <w:p>
      <w:pPr>
        <w:pStyle w:val="ListParagraph"/>
        <w:numPr>
          <w:ilvl w:val="0"/>
          <w:numId w:val="3"/>
        </w:numPr>
        <w:spacing w:after="80"/>
      </w:pPr>
      <w:r>
        <w:rPr>
          <w:rFonts w:ascii="Calibri" w:cs="Calibri" w:eastAsia="Calibri" w:hAnsi="Calibri"/>
          <w:sz w:val="21"/>
          <w:szCs w:val="21"/>
        </w:rPr>
        <w:t xml:space="preserve">Partner logos need real text. The logo band is currently images with no adjacent text — an answer engine cannot read the partner names at all. Add visible HTML text or, at minimum, accurate alt text.</w:t>
      </w:r>
    </w:p>
    <w:p>
      <w:pPr>
        <w:pStyle w:val="ListParagraph"/>
        <w:numPr>
          <w:ilvl w:val="0"/>
          <w:numId w:val="3"/>
        </w:numPr>
        <w:spacing w:after="80"/>
      </w:pPr>
      <w:r>
        <w:rPr>
          <w:rFonts w:ascii="Calibri" w:cs="Calibri" w:eastAsia="Calibri" w:hAnsi="Calibri"/>
          <w:sz w:val="21"/>
          <w:szCs w:val="21"/>
        </w:rPr>
        <w:t xml:space="preserve">One H1, then a logical H2–H4 hierarchy. Existing service pages run multiple H1s.</w:t>
      </w:r>
    </w:p>
    <w:p>
      <w:pPr>
        <w:pStyle w:val="ListParagraph"/>
        <w:numPr>
          <w:ilvl w:val="0"/>
          <w:numId w:val="3"/>
        </w:numPr>
        <w:spacing w:after="80"/>
      </w:pPr>
      <w:r>
        <w:rPr>
          <w:rFonts w:ascii="Calibri" w:cs="Calibri" w:eastAsia="Calibri" w:hAnsi="Calibri"/>
          <w:sz w:val="21"/>
          <w:szCs w:val="21"/>
        </w:rPr>
        <w:t xml:space="preserve">Images under 100 KB, explicit width and height on every image to avoid layout shift.</w:t>
      </w:r>
    </w:p>
    <w:p>
      <w:pPr>
        <w:pStyle w:val="ListParagraph"/>
        <w:numPr>
          <w:ilvl w:val="0"/>
          <w:numId w:val="3"/>
        </w:numPr>
        <w:spacing w:after="80"/>
      </w:pPr>
      <w:r>
        <w:rPr>
          <w:rFonts w:ascii="Calibri" w:cs="Calibri" w:eastAsia="Calibri" w:hAnsi="Calibri"/>
          <w:sz w:val="21"/>
          <w:szCs w:val="21"/>
        </w:rPr>
        <w:t xml:space="preserve">Add Referrer-Policy, X-Content-Type-Options and X-Frame-Options headers. xSecurity sells security assessments; a CISO may check.</w:t>
      </w:r>
    </w:p>
    <w:p>
      <w:r>
        <w:br w:type="page"/>
      </w:r>
    </w:p>
    <w:p>
      <w:pPr>
        <w:pStyle w:val="Heading1"/>
        <w:spacing w:after="160" w:before="360"/>
      </w:pPr>
      <w:r>
        <w:rPr>
          <w:rFonts w:ascii="Calibri" w:cs="Calibri" w:eastAsia="Calibri" w:hAnsi="Calibri"/>
          <w:b/>
          <w:bCs/>
          <w:color w:val="1B1B3A"/>
          <w:sz w:val="32"/>
          <w:szCs w:val="32"/>
        </w:rPr>
        <w:t xml:space="preserve">3. Page content</w:t>
      </w:r>
    </w:p>
    <w:p>
      <w:pPr>
        <w:spacing w:after="160" w:before="80"/>
      </w:pPr>
      <w:r>
        <w:rPr>
          <w:rFonts w:ascii="Calibri" w:cs="Calibri" w:eastAsia="Calibri" w:hAnsi="Calibri"/>
          <w:b/>
          <w:bCs/>
          <w:color w:val="5A5A6E"/>
          <w:sz w:val="19"/>
          <w:szCs w:val="19"/>
        </w:rPr>
        <w:t xml:space="preserve">Reminder. </w:t>
      </w:r>
      <w:r>
        <w:rPr>
          <w:rFonts w:ascii="Calibri" w:cs="Calibri" w:eastAsia="Calibri" w:hAnsi="Calibri"/>
          <w:i/>
          <w:iCs/>
          <w:color w:val="5A5A6E"/>
          <w:sz w:val="19"/>
          <w:szCs w:val="19"/>
        </w:rPr>
        <w:t xml:space="preserve">Copy inside blue-edged boxes is final. Text outside them is instruction.</w:t>
      </w:r>
    </w:p>
    <w:p>
      <w:pPr>
        <w:pStyle w:val="Heading2"/>
        <w:spacing w:after="140" w:before="300"/>
      </w:pPr>
      <w:r>
        <w:rPr>
          <w:rFonts w:ascii="Calibri" w:cs="Calibri" w:eastAsia="Calibri" w:hAnsi="Calibri"/>
          <w:b/>
          <w:bCs/>
          <w:color w:val="2E5AAC"/>
          <w:sz w:val="26"/>
          <w:szCs w:val="26"/>
        </w:rPr>
        <w:t xml:space="preserve">3.1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EYEBROW</w:t>
            </w:r>
          </w:p>
          <w:p>
            <w:pPr>
              <w:spacing w:after="60"/>
            </w:pPr>
            <w:r>
              <w:rPr>
                <w:rFonts w:ascii="Calibri" w:cs="Calibri" w:eastAsia="Calibri" w:hAnsi="Calibri"/>
                <w:sz w:val="21"/>
                <w:szCs w:val="21"/>
              </w:rPr>
              <w:t xml:space="preserve">Digital Transformation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H1</w:t>
            </w:r>
          </w:p>
          <w:p>
            <w:pPr>
              <w:spacing w:after="60"/>
            </w:pPr>
            <w:r>
              <w:rPr>
                <w:rFonts w:ascii="Calibri" w:cs="Calibri" w:eastAsia="Calibri" w:hAnsi="Calibri"/>
                <w:sz w:val="21"/>
                <w:szCs w:val="21"/>
              </w:rPr>
              <w:t xml:space="preserve">Digital Transformation That Makes Enterprise AI Work</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w:t>
            </w:r>
          </w:p>
          <w:p>
            <w:pPr>
              <w:spacing w:after="60"/>
            </w:pPr>
            <w:r>
              <w:rPr>
                <w:rFonts w:ascii="Calibri" w:cs="Calibri" w:eastAsia="Calibri" w:hAnsi="Calibri"/>
                <w:sz w:val="21"/>
                <w:szCs w:val="21"/>
              </w:rPr>
              <w:t xml:space="preserve">Cloud, data and application architecture built to carry AI at scale — not retrofitted to it afterwards.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Data &amp; Infrastructure Review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See what we have built → (anchors to §3.6 Proof)</w:t>
            </w:r>
          </w:p>
        </w:tc>
      </w:tr>
    </w:tbl>
    <w:p>
      <w:pPr>
        <w:spacing w:after="160" w:before="80"/>
      </w:pPr>
      <w:r>
        <w:rPr>
          <w:rFonts w:ascii="Calibri" w:cs="Calibri" w:eastAsia="Calibri" w:hAnsi="Calibri"/>
          <w:b/>
          <w:bCs/>
          <w:color w:val="5A5A6E"/>
          <w:sz w:val="19"/>
          <w:szCs w:val="19"/>
        </w:rPr>
        <w:t xml:space="preserve">Note on the primary CTA. </w:t>
      </w:r>
      <w:r>
        <w:rPr>
          <w:rFonts w:ascii="Calibri" w:cs="Calibri" w:eastAsia="Calibri" w:hAnsi="Calibri"/>
          <w:i/>
          <w:iCs/>
          <w:color w:val="5A5A6E"/>
          <w:sz w:val="19"/>
          <w:szCs w:val="19"/>
        </w:rPr>
        <w:t xml:space="preserve">This deliberately does not say "Get Your AI Readiness Score". That diagnostic does not exist yet. Pointing the highest-intent traffic on the site at a tool that returns nothing costs more than a weaker CTA. Switch to the readiness score the day it ships — not before.</w:t>
      </w:r>
    </w:p>
    <w:p>
      <w:pPr>
        <w:pStyle w:val="Heading2"/>
        <w:spacing w:after="140" w:before="300"/>
      </w:pPr>
      <w:r>
        <w:rPr>
          <w:rFonts w:ascii="Calibri" w:cs="Calibri" w:eastAsia="Calibri" w:hAnsi="Calibri"/>
          <w:b/>
          <w:bCs/>
          <w:color w:val="2E5AAC"/>
          <w:sz w:val="26"/>
          <w:szCs w:val="26"/>
        </w:rPr>
        <w:t xml:space="preserve">3.2 Definition block</w:t>
      </w:r>
    </w:p>
    <w:p>
      <w:pPr>
        <w:spacing w:after="120" w:before="0"/>
      </w:pPr>
      <w:r>
        <w:rPr>
          <w:rFonts w:ascii="Calibri" w:cs="Calibri" w:eastAsia="Calibri" w:hAnsi="Calibri"/>
          <w:sz w:val="21"/>
          <w:szCs w:val="21"/>
        </w:rPr>
        <w:t xml:space="preserve">Sits directly under the hero, above the service cards. Plain paragraph text, no graphic. This block exists to be quoted by AI answer engines, which is why it reads like a definition rather than a sales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 COPY</w:t>
            </w:r>
          </w:p>
          <w:p>
            <w:pPr>
              <w:spacing w:after="60"/>
            </w:pPr>
            <w:r>
              <w:rPr>
                <w:rFonts w:ascii="Calibri" w:cs="Calibri" w:eastAsia="Calibri" w:hAnsi="Calibri"/>
                <w:sz w:val="21"/>
                <w:szCs w:val="21"/>
              </w:rPr>
              <w:t xml:space="preserve">Digital transformation is the work of modernizing the systems a business runs on — its cloud infrastructure, its data platforms and its applications — so that new capability can actually be deployed on top of them. For enterprises adopting AI, it is the layer that decides whether a model reaches production or stalls in pilot.</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Keep this as real body text at readable size. Do not set it as a pull-quote graphic or place it inside an image.</w:t>
      </w:r>
    </w:p>
    <w:p>
      <w:pPr>
        <w:pStyle w:val="Heading2"/>
        <w:spacing w:after="140" w:before="300"/>
      </w:pPr>
      <w:r>
        <w:rPr>
          <w:rFonts w:ascii="Calibri" w:cs="Calibri" w:eastAsia="Calibri" w:hAnsi="Calibri"/>
          <w:b/>
          <w:bCs/>
          <w:color w:val="2E5AAC"/>
          <w:sz w:val="26"/>
          <w:szCs w:val="26"/>
        </w:rPr>
        <w:t xml:space="preserve">3.3 What is included — service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The Four Layers, and the Practice That Builds Them</w:t>
            </w:r>
          </w:p>
        </w:tc>
      </w:tr>
    </w:tbl>
    <w:p>
      <w:pPr>
        <w:spacing w:after="60"/>
      </w:pPr>
      <w:r>
        <w:rPr>
          <w:sz w:val="2"/>
          <w:szCs w:val="2"/>
        </w:rPr>
        <w:t xml:space="preserve"/>
      </w:r>
    </w:p>
    <w:p>
      <w:pPr>
        <w:spacing w:after="120" w:before="0"/>
      </w:pPr>
      <w:r>
        <w:rPr>
          <w:rFonts w:ascii="Calibri" w:cs="Calibri" w:eastAsia="Calibri" w:hAnsi="Calibri"/>
          <w:sz w:val="21"/>
          <w:szCs w:val="21"/>
        </w:rPr>
        <w:t xml:space="preserve">Five cards. Each card links to its service page.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w:t>
            </w:r>
          </w:p>
        </w:tc>
        <w:tc>
          <w:tcPr>
            <w:tcW w:type="dxa" w:w="5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Copy</w:t>
            </w:r>
          </w:p>
        </w:tc>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Links to</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Analytics &amp; Engineering</w:t>
            </w:r>
          </w:p>
        </w:tc>
        <w:tc>
          <w:tcPr>
            <w:tcW w:type="dxa" w:w="5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pipelines, quality and governance that make AI outputs trustworthy — not just a dashboard layer.</w:t>
            </w:r>
          </w:p>
        </w:tc>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&amp; Hyperscaling</w:t>
            </w:r>
          </w:p>
        </w:tc>
        <w:tc>
          <w:tcPr>
            <w:tcW w:type="dxa" w:w="5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architecture built for AI workloads, rather than retrofitted onto infrastructure that was never meant to carry them.</w:t>
            </w:r>
          </w:p>
        </w:tc>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w:t>
            </w:r>
          </w:p>
        </w:tc>
        <w:tc>
          <w:tcPr>
            <w:tcW w:type="dxa" w:w="5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Move off systems that cannot support modern AI and data workflows — in phases, without a disruptive rebuild.</w:t>
            </w:r>
          </w:p>
        </w:tc>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Web &amp; App Development</w:t>
            </w:r>
          </w:p>
        </w:tc>
        <w:tc>
          <w:tcPr>
            <w:tcW w:type="dxa" w:w="5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Custom platforms and applications built around the systems you already run.</w:t>
            </w:r>
          </w:p>
        </w:tc>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/services/web-and-app-development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Software &amp; Product Engineering</w:t>
            </w:r>
          </w:p>
        </w:tc>
        <w:tc>
          <w:tcPr>
            <w:tcW w:type="dxa" w:w="5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we build: engineering practice, POC to MVP to scale, platform and QA.</w:t>
            </w:r>
          </w:p>
        </w:tc>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/digital-engineering</w:t>
            </w:r>
          </w:p>
        </w:tc>
      </w:tr>
    </w:tbl>
    <w:p>
      <w:pPr>
        <w:spacing w:after="160" w:before="80"/>
      </w:pPr>
      <w:r>
        <w:rPr>
          <w:rFonts w:ascii="Calibri" w:cs="Calibri" w:eastAsia="Calibri" w:hAnsi="Calibri"/>
          <w:b/>
          <w:bCs/>
          <w:color w:val="5A5A6E"/>
          <w:sz w:val="19"/>
          <w:szCs w:val="19"/>
        </w:rPr>
        <w:t xml:space="preserve">Sequencing. </w:t>
      </w:r>
      <w:r>
        <w:rPr>
          <w:rFonts w:ascii="Calibri" w:cs="Calibri" w:eastAsia="Calibri" w:hAnsi="Calibri"/>
          <w:i/>
          <w:iCs/>
          <w:color w:val="5A5A6E"/>
          <w:sz w:val="19"/>
          <w:szCs w:val="19"/>
        </w:rPr>
        <w:t xml:space="preserve">Card 3 must not be published until /services/legacy-system-modernization is live. Card 5 must not be published until the narrowing edits in §1 are applied.</w:t>
      </w:r>
    </w:p>
    <w:p>
      <w:r>
        <w:br w:type="page"/>
      </w:r>
    </w:p>
    <w:p>
      <w:pPr>
        <w:pStyle w:val="Heading2"/>
        <w:spacing w:after="140" w:before="300"/>
      </w:pPr>
      <w:r>
        <w:rPr>
          <w:rFonts w:ascii="Calibri" w:cs="Calibri" w:eastAsia="Calibri" w:hAnsi="Calibri"/>
          <w:b/>
          <w:bCs/>
          <w:color w:val="2E5AAC"/>
          <w:sz w:val="26"/>
          <w:szCs w:val="26"/>
        </w:rPr>
        <w:t xml:space="preserve">3.4 Why this matters</w:t>
      </w:r>
    </w:p>
    <w:p>
      <w:pPr>
        <w:spacing w:after="120" w:before="0"/>
      </w:pPr>
      <w:r>
        <w:rPr>
          <w:rFonts w:ascii="Calibri" w:cs="Calibri" w:eastAsia="Calibri" w:hAnsi="Calibri"/>
          <w:sz w:val="21"/>
          <w:szCs w:val="21"/>
        </w:rPr>
        <w:t xml:space="preserve">This is the most important section on the page. It is the argument no competitor makes, and it answers a question xLoop already ranks first for and earns no clicks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EYEBROW</w:t>
            </w:r>
          </w:p>
          <w:p>
            <w:pPr>
              <w:spacing w:after="60"/>
            </w:pPr>
            <w:r>
              <w:rPr>
                <w:rFonts w:ascii="Calibri" w:cs="Calibri" w:eastAsia="Calibri" w:hAnsi="Calibri"/>
                <w:sz w:val="21"/>
                <w:szCs w:val="21"/>
              </w:rPr>
              <w:t xml:space="preserve">Foundation First</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Why Do Enterprise AI Projects Fail?</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OPENING BODY COPY</w:t>
            </w:r>
          </w:p>
          <w:p>
            <w:pPr>
              <w:spacing w:after="60"/>
            </w:pPr>
            <w:r>
              <w:rPr>
                <w:rFonts w:ascii="Calibri" w:cs="Calibri" w:eastAsia="Calibri" w:hAnsi="Calibri"/>
                <w:sz w:val="21"/>
                <w:szCs w:val="21"/>
              </w:rPr>
              <w:t xml:space="preserve">Not because of the model. Because of what is underneath it.</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Most AI initiatives stall because the surrounding ecosystem was never built to carry them. Three bottlenecks account for the majority of it.</w:t>
            </w:r>
          </w:p>
        </w:tc>
      </w:tr>
    </w:tbl>
    <w:p>
      <w:pPr>
        <w:spacing w:after="160" w:before="80"/>
      </w:pPr>
      <w:r>
        <w:rPr>
          <w:rFonts w:ascii="Calibri" w:cs="Calibri" w:eastAsia="Calibri" w:hAnsi="Calibri"/>
          <w:b/>
          <w:bCs/>
          <w:color w:val="5A5A6E"/>
          <w:sz w:val="19"/>
          <w:szCs w:val="19"/>
        </w:rPr>
        <w:t xml:space="preserve">Why the heading is phrased as a question. </w:t>
      </w:r>
      <w:r>
        <w:rPr>
          <w:rFonts w:ascii="Calibri" w:cs="Calibri" w:eastAsia="Calibri" w:hAnsi="Calibri"/>
          <w:i/>
          <w:iCs/>
          <w:color w:val="5A5A6E"/>
          <w:sz w:val="19"/>
          <w:szCs w:val="19"/>
        </w:rPr>
        <w:t xml:space="preserve">"AI Doesn’t Fail Because of the Model" is the strongest line xLoop has and it stays — as the answer’s first sentence. The heading above it is question-shaped so that answer engines can match it to what people actually type. Both jobs get done.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Bottleneck</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Copy</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fragmentation</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Disconnected, low-quality data that limits both AI performance and the governance needed to approve it.</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Incompatible compute</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environments that cannot efficiently support training, inference or scaling.</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Monolithic applications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systems without the APIs and integrations required to put a model anywhere near a real workflow.</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BODY COPY</w:t>
            </w:r>
          </w:p>
          <w:p>
            <w:pPr>
              <w:spacing w:after="60"/>
            </w:pPr>
            <w:r>
              <w:rPr>
                <w:rFonts w:ascii="Calibri" w:cs="Calibri" w:eastAsia="Calibri" w:hAnsi="Calibri"/>
                <w:sz w:val="21"/>
                <w:szCs w:val="21"/>
              </w:rPr>
              <w:t xml:space="preserve">None of these are model problems, and none of them are visible from a proof of concept — which is why so many programs clear the pilot and stall at production.</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Digital transformation is not a separate initiative from your AI strategy. It is the layer that makes it possible. We treat cloud, data and application modernization as one foundation, and we start with whichever part is actually blocking you.</w:t>
            </w:r>
          </w:p>
        </w:tc>
      </w:tr>
    </w:tbl>
    <w:p>
      <w:pPr>
        <w:pStyle w:val="Heading2"/>
        <w:spacing w:after="140" w:before="300"/>
      </w:pPr>
      <w:r>
        <w:rPr>
          <w:rFonts w:ascii="Calibri" w:cs="Calibri" w:eastAsia="Calibri" w:hAnsi="Calibri"/>
          <w:b/>
          <w:bCs/>
          <w:color w:val="2E5AAC"/>
          <w:sz w:val="26"/>
          <w:szCs w:val="26"/>
        </w:rPr>
        <w:t xml:space="preserve">3.5 Which layer do you fix first?</w:t>
      </w:r>
    </w:p>
    <w:p>
      <w:pPr>
        <w:spacing w:after="120" w:before="0"/>
      </w:pPr>
      <w:r>
        <w:rPr>
          <w:rFonts w:ascii="Calibri" w:cs="Calibri" w:eastAsia="Calibri" w:hAnsi="Calibri"/>
          <w:sz w:val="21"/>
          <w:szCs w:val="21"/>
        </w:rPr>
        <w:t xml:space="preserve">New section, not in the original brief. This is the single most useful and most quotable thing on the page, and it does the routing job the hub exists for. No competitor publishes anything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Which Layer Do You Fix First?</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 this is true of you</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Start with</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Page</w:t>
            </w:r>
          </w:p>
        </w:tc>
      </w:tr>
      <w:tr>
        <w:tc>
          <w:tcPr>
            <w:tcW w:type="dxa" w:w="4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Reports contradict each other and nobody trusts the numbers</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platform</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4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Models train fine, then cannot be served or scaled</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architecture</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4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core system has no API and every integration is a custom job</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4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workflow you want to automate does not exist yet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Application engineering</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/services/web-and-app-development</w:t>
            </w:r>
          </w:p>
        </w:tc>
      </w:tr>
      <w:tr>
        <w:tc>
          <w:tcPr>
            <w:tcW w:type="dxa" w:w="4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You have the plan but not the delivery capacity</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practice</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/digital-engineering</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Build as a real HTML table, not an infographic. Its value depends on being machine-readable.</w:t>
      </w:r>
    </w:p>
    <w:p>
      <w:r>
        <w:br w:type="page"/>
      </w:r>
    </w:p>
    <w:p>
      <w:pPr>
        <w:pStyle w:val="Heading2"/>
        <w:spacing w:after="140" w:before="300"/>
      </w:pPr>
      <w:r>
        <w:rPr>
          <w:rFonts w:ascii="Calibri" w:cs="Calibri" w:eastAsia="Calibri" w:hAnsi="Calibri"/>
          <w:b/>
          <w:bCs/>
          <w:color w:val="2E5AAC"/>
          <w:sz w:val="26"/>
          <w:szCs w:val="26"/>
        </w:rPr>
        <w:t xml:space="preserve">3.6 Proof</w:t>
      </w:r>
    </w:p>
    <w:p>
      <w:pPr>
        <w:spacing w:after="120" w:before="0"/>
      </w:pPr>
      <w:r>
        <w:rPr>
          <w:rFonts w:ascii="Calibri" w:cs="Calibri" w:eastAsia="Calibri" w:hAnsi="Calibri"/>
          <w:sz w:val="21"/>
          <w:szCs w:val="21"/>
        </w:rPr>
        <w:t xml:space="preserve">The original brief had three proof items, one of which was a blog post. These are approved, public-safe and already evidenced. Use anonymized wording exactly as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Built, Shipped, Still Running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Case</w:t>
            </w:r>
          </w:p>
        </w:tc>
        <w:tc>
          <w:tcPr>
            <w:tcW w:type="dxa" w:w="56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Approved wording</w:t>
            </w:r>
          </w:p>
        </w:tc>
        <w:tc>
          <w:tcPr>
            <w:tcW w:type="dxa" w:w="1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Layer</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Enterprise data migration</w:t>
            </w:r>
          </w:p>
        </w:tc>
        <w:tc>
          <w:tcPr>
            <w:tcW w:type="dxa" w:w="5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a leading South African retailer from SAP and fragmented databases to a Snowflake medallion lakehouse on AWS, enabling real-time Power BI from a single source of truth.</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w:t>
            </w:r>
          </w:p>
        </w:tc>
      </w:tr>
      <w:tr>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National health platform</w:t>
            </w:r>
          </w:p>
        </w:tc>
        <w:tc>
          <w:tcPr>
            <w:tcW w:type="dxa" w:w="56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Scaled a national digital immunisation platform managing over a billion health records for 4,000+ frontline health workers.</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 Cloud</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migration</w:t>
            </w:r>
          </w:p>
        </w:tc>
        <w:tc>
          <w:tcPr>
            <w:tcW w:type="dxa" w:w="5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legacy RPG applications to private cloud with minimal operational disruption.</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w:t>
            </w:r>
          </w:p>
        </w:tc>
      </w:tr>
      <w:tr>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Cross-border platform</w:t>
            </w:r>
          </w:p>
        </w:tc>
        <w:tc>
          <w:tcPr>
            <w:tcW w:type="dxa" w:w="56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Built a cross-border financial wellness platform scaling to 10,000+ users at 99.9% uptime.</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Applications</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Healthcare video search</w:t>
            </w:r>
          </w:p>
        </w:tc>
        <w:tc>
          <w:tcPr>
            <w:tcW w:type="dxa" w:w="5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Delivered a RAG-based video-transcription search system for a Canadian healthcare platform, turning an unsearchable archive into a queryable one.</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 AI</w:t>
            </w:r>
          </w:p>
        </w:tc>
      </w:tr>
    </w:tbl>
    <w:p>
      <w:pPr>
        <w:spacing w:after="140"/>
      </w:pPr>
      <w:r>
        <w:rPr>
          <w:sz w:val="2"/>
          <w:szCs w:val="2"/>
        </w:rPr>
        <w:t xml:space="preserve"/>
      </w:r>
    </w:p>
    <w:p>
      <w:pPr>
        <w:pStyle w:val="Heading3"/>
        <w:spacing w:after="100" w:before="220"/>
      </w:pPr>
      <w:r>
        <w:rPr>
          <w:rFonts w:ascii="Calibri" w:cs="Calibri" w:eastAsia="Calibri" w:hAnsi="Calibri"/>
          <w:b/>
          <w:bCs/>
          <w:color w:val="1B1B3A"/>
          <w:sz w:val="22"/>
          <w:szCs w:val="22"/>
        </w:rPr>
        <w:t xml:space="preserve">Testimonials — use these, they are named and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PULL QUOTE 1</w:t>
            </w:r>
          </w:p>
          <w:p>
            <w:pPr>
              <w:spacing w:after="60"/>
            </w:pPr>
            <w:r>
              <w:rPr>
                <w:rFonts w:ascii="Calibri" w:cs="Calibri" w:eastAsia="Calibri" w:hAnsi="Calibri"/>
                <w:sz w:val="21"/>
                <w:szCs w:val="21"/>
              </w:rPr>
              <w:t xml:space="preserve">"Instrumental in our digital transformation journey — a trusted and reliable partner."</w:t>
            </w:r>
          </w:p>
          <w:p>
            <w:pPr>
              <w:spacing w:after="60"/>
            </w:pPr>
            <w:r>
              <w:rPr>
                <w:rFonts w:ascii="Calibri" w:cs="Calibri" w:eastAsia="Calibri" w:hAnsi="Calibri"/>
                <w:sz w:val="21"/>
                <w:szCs w:val="21"/>
              </w:rPr>
              <w:t xml:space="preserve">— Serefin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PULL QUOTE 2</w:t>
            </w:r>
          </w:p>
          <w:p>
            <w:pPr>
              <w:spacing w:after="60"/>
            </w:pPr>
            <w:r>
              <w:rPr>
                <w:rFonts w:ascii="Calibri" w:cs="Calibri" w:eastAsia="Calibri" w:hAnsi="Calibri"/>
                <w:sz w:val="21"/>
                <w:szCs w:val="21"/>
              </w:rPr>
              <w:t xml:space="preserve">"Delivered complex projects on time and within budget."</w:t>
            </w:r>
          </w:p>
          <w:p>
            <w:pPr>
              <w:spacing w:after="60"/>
            </w:pPr>
            <w:r>
              <w:rPr>
                <w:rFonts w:ascii="Calibri" w:cs="Calibri" w:eastAsia="Calibri" w:hAnsi="Calibri"/>
                <w:sz w:val="21"/>
                <w:szCs w:val="21"/>
              </w:rPr>
              <w:t xml:space="preserve">— John Waterhouse, Cloud Titans</w:t>
            </w:r>
          </w:p>
        </w:tc>
      </w:tr>
    </w:tbl>
    <w:p>
      <w:pPr>
        <w:spacing w:after="160" w:before="80"/>
      </w:pPr>
      <w:r>
        <w:rPr>
          <w:rFonts w:ascii="Calibri" w:cs="Calibri" w:eastAsia="Calibri" w:hAnsi="Calibri"/>
          <w:b/>
          <w:bCs/>
          <w:color w:val="5A5A6E"/>
          <w:sz w:val="19"/>
          <w:szCs w:val="19"/>
        </w:rPr>
        <w:t xml:space="preserve">Why these two. </w:t>
      </w:r>
      <w:r>
        <w:rPr>
          <w:rFonts w:ascii="Calibri" w:cs="Calibri" w:eastAsia="Calibri" w:hAnsi="Calibri"/>
          <w:i/>
          <w:iCs/>
          <w:color w:val="5A5A6E"/>
          <w:sz w:val="19"/>
          <w:szCs w:val="19"/>
        </w:rPr>
        <w:t xml:space="preserve">They are the closest thing xLoop has to grade-A proof: named, attributed and already public. Serefin’s quote names digital transformation explicitly, which makes it the single best-matched testimonial on the site for this page. Both are currently unused.</w:t>
      </w:r>
    </w:p>
    <w:p>
      <w:pPr>
        <w:spacing w:after="100"/>
      </w:pPr>
      <w:r>
        <w:rPr>
          <w:sz w:val="2"/>
          <w:szCs w:val="2"/>
        </w:rPr>
        <w:t xml:space="preserve"/>
      </w:r>
    </w:p>
    <w:p>
      <w:pPr>
        <w:spacing w:after="200" w:before="80"/>
      </w:pPr>
      <w:r>
        <w:rPr>
          <w:rFonts w:ascii="Calibri" w:cs="Calibri" w:eastAsia="Calibri" w:hAnsi="Calibri"/>
          <w:b/>
          <w:bCs/>
          <w:color w:val="B02A2A"/>
          <w:sz w:val="19"/>
          <w:szCs w:val="19"/>
        </w:rPr>
        <w:t xml:space="preserve">DO NOT USE ON THIS PAGE. </w:t>
      </w:r>
      <w:r>
        <w:rPr>
          <w:rFonts w:ascii="Calibri" w:cs="Calibri" w:eastAsia="Calibri" w:hAnsi="Calibri"/>
          <w:color w:val="B02A2A"/>
          <w:sz w:val="19"/>
          <w:szCs w:val="19"/>
        </w:rPr>
        <w:t xml:space="preserve">The percentage figures on the current /digital-engineering case cards — 30% operational efficiency, 50% data pipeline efficiency, 40% faster decision making, 60% infrastructure cost reduction, 45% administrative overhead, 35% digital payment adoption — are unsourced. They may not be carried onto this page. If the page is built by adapting /digital-engineering, strip them.</w:t>
      </w:r>
    </w:p>
    <w:p>
      <w:pPr>
        <w:pStyle w:val="Heading2"/>
        <w:spacing w:after="140" w:before="300"/>
      </w:pPr>
      <w:r>
        <w:rPr>
          <w:rFonts w:ascii="Calibri" w:cs="Calibri" w:eastAsia="Calibri" w:hAnsi="Calibri"/>
          <w:b/>
          <w:bCs/>
          <w:color w:val="2E5AAC"/>
          <w:sz w:val="26"/>
          <w:szCs w:val="26"/>
        </w:rPr>
        <w:t xml:space="preserve">3.7 Partner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LABEL</w:t>
            </w:r>
          </w:p>
          <w:p>
            <w:pPr>
              <w:spacing w:after="60"/>
            </w:pPr>
            <w:r>
              <w:rPr>
                <w:rFonts w:ascii="Calibri" w:cs="Calibri" w:eastAsia="Calibri" w:hAnsi="Calibri"/>
                <w:sz w:val="21"/>
                <w:szCs w:val="21"/>
              </w:rPr>
              <w:t xml:space="preserve">Technology Partners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VISIBLE TEXT ALONGSIDE THE LOGOS</w:t>
            </w:r>
          </w:p>
          <w:p>
            <w:pPr>
              <w:spacing w:after="60"/>
            </w:pPr>
            <w:r>
              <w:rPr>
                <w:rFonts w:ascii="Calibri" w:cs="Calibri" w:eastAsia="Calibri" w:hAnsi="Calibri"/>
                <w:sz w:val="21"/>
                <w:szCs w:val="21"/>
              </w:rPr>
              <w:t xml:space="preserve">AWS · Microsoft · Snowflake · Databricks · Salesforce</w:t>
            </w:r>
          </w:p>
        </w:tc>
      </w:tr>
    </w:tbl>
    <w:p>
      <w:pPr>
        <w:spacing w:after="160" w:before="80"/>
      </w:pPr>
      <w:r>
        <w:rPr>
          <w:rFonts w:ascii="Calibri" w:cs="Calibri" w:eastAsia="Calibri" w:hAnsi="Calibri"/>
          <w:b/>
          <w:bCs/>
          <w:color w:val="5A5A6E"/>
          <w:sz w:val="19"/>
          <w:szCs w:val="19"/>
        </w:rPr>
        <w:t xml:space="preserve">Critical AEO fix. </w:t>
      </w:r>
      <w:r>
        <w:rPr>
          <w:rFonts w:ascii="Calibri" w:cs="Calibri" w:eastAsia="Calibri" w:hAnsi="Calibri"/>
          <w:i/>
          <w:iCs/>
          <w:color w:val="5A5A6E"/>
          <w:sz w:val="19"/>
          <w:szCs w:val="19"/>
        </w:rPr>
        <w:t xml:space="preserve">The current partner band is images with no adjacent text, so an answer engine reading the page cannot see a single partner name. Render the names as visible HTML text next to or beneath the logos. Alt text is the minimum acceptable fallback, not the preferred solution.</w:t>
      </w:r>
    </w:p>
    <w:p>
      <w:pPr>
        <w:spacing w:after="160" w:before="80"/>
      </w:pPr>
      <w:r>
        <w:rPr>
          <w:rFonts w:ascii="Calibri" w:cs="Calibri" w:eastAsia="Calibri" w:hAnsi="Calibri"/>
          <w:b/>
          <w:bCs/>
          <w:color w:val="5A5A6E"/>
          <w:sz w:val="19"/>
          <w:szCs w:val="19"/>
        </w:rPr>
        <w:t xml:space="preserve">Claims guardrail. </w:t>
      </w:r>
      <w:r>
        <w:rPr>
          <w:rFonts w:ascii="Calibri" w:cs="Calibri" w:eastAsia="Calibri" w:hAnsi="Calibri"/>
          <w:i/>
          <w:iCs/>
          <w:color w:val="5A5A6E"/>
          <w:sz w:val="19"/>
          <w:szCs w:val="19"/>
        </w:rPr>
        <w:t xml:space="preserve">"Microsoft Partner" is accurate. Nothing on this page may imply a Microsoft Solutions Partner designation — xLoop does not hold one, and it is publicly verifiable.</w:t>
      </w:r>
    </w:p>
    <w:p>
      <w:pPr>
        <w:pStyle w:val="Heading2"/>
        <w:spacing w:after="140" w:before="300"/>
      </w:pPr>
      <w:r>
        <w:rPr>
          <w:rFonts w:ascii="Calibri" w:cs="Calibri" w:eastAsia="Calibri" w:hAnsi="Calibri"/>
          <w:b/>
          <w:bCs/>
          <w:color w:val="2E5AAC"/>
          <w:sz w:val="26"/>
          <w:szCs w:val="26"/>
        </w:rPr>
        <w:t xml:space="preserve">3.8 Engagement models</w:t>
      </w:r>
    </w:p>
    <w:p>
      <w:pPr>
        <w:spacing w:after="120" w:before="0"/>
      </w:pPr>
      <w:r>
        <w:rPr>
          <w:rFonts w:ascii="Calibri" w:cs="Calibri" w:eastAsia="Calibri" w:hAnsi="Calibri"/>
          <w:sz w:val="21"/>
          <w:szCs w:val="21"/>
        </w:rPr>
        <w:t xml:space="preserve">Present on competitor pages and on xLoop’s own /digital-engineering page; missing from the original brief. Enterprise buyers scan for this before they make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How We Work Together</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860"/>
        <w:gridCol w:w="2400"/>
      </w:tblGrid>
      <w:tr>
        <w:trPr>
          <w:tblHeader/>
        </w:trPr>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Model</w:t>
            </w:r>
          </w:p>
        </w:tc>
        <w:tc>
          <w:tcPr>
            <w:tcW w:type="dxa" w:w="4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Copy</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CTA</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Scope-based projects</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take ownership of delivery end to end, to a defined budget and timeline.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Get a fixed-price estimate</w:t>
            </w:r>
          </w:p>
        </w:tc>
      </w:tr>
      <w:tr>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Embedded specialists</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cloud and platform engineers who join your team when you need capability rather than a project.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Partner with our specialists</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Retainer advisory</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Continuous architecture guidance for organizations running several initiatives at once.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Start a strategic partnership</w:t>
            </w:r>
          </w:p>
        </w:tc>
      </w:tr>
    </w:tbl>
    <w:p>
      <w:pPr>
        <w:pStyle w:val="Heading2"/>
        <w:spacing w:after="140" w:before="300"/>
      </w:pPr>
      <w:r>
        <w:rPr>
          <w:rFonts w:ascii="Calibri" w:cs="Calibri" w:eastAsia="Calibri" w:hAnsi="Calibri"/>
          <w:b/>
          <w:bCs/>
          <w:color w:val="2E5AAC"/>
          <w:sz w:val="26"/>
          <w:szCs w:val="26"/>
        </w:rPr>
        <w:t xml:space="preserve">3.9 Industries</w:t>
      </w:r>
    </w:p>
    <w:p>
      <w:pPr>
        <w:spacing w:after="120" w:before="0"/>
      </w:pPr>
      <w:r>
        <w:rPr>
          <w:rFonts w:ascii="Calibri" w:cs="Calibri" w:eastAsia="Calibri" w:hAnsi="Calibri"/>
          <w:sz w:val="21"/>
          <w:szCs w:val="21"/>
        </w:rPr>
        <w:t xml:space="preserve">Link only to the five industries with real proof behind them. Do not list nine.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Where We Have Done This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INDUSTRY LINKS</w:t>
            </w:r>
          </w:p>
          <w:p>
            <w:pPr>
              <w:spacing w:after="60"/>
            </w:pPr>
            <w:r>
              <w:rPr>
                <w:rFonts w:ascii="Calibri" w:cs="Calibri" w:eastAsia="Calibri" w:hAnsi="Calibri"/>
                <w:sz w:val="21"/>
                <w:szCs w:val="21"/>
              </w:rPr>
              <w:t xml:space="preserve">Banking &amp; financial services · Energy &amp; utilities · Healthcare · Retail · Transport &amp; logistics</w:t>
            </w:r>
          </w:p>
        </w:tc>
      </w:tr>
    </w:tbl>
    <w:p>
      <w:r>
        <w:br w:type="page"/>
      </w:r>
    </w:p>
    <w:p>
      <w:pPr>
        <w:pStyle w:val="Heading1"/>
        <w:spacing w:after="160" w:before="360"/>
      </w:pPr>
      <w:r>
        <w:rPr>
          <w:rFonts w:ascii="Calibri" w:cs="Calibri" w:eastAsia="Calibri" w:hAnsi="Calibri"/>
          <w:b/>
          <w:bCs/>
          <w:color w:val="1B1B3A"/>
          <w:sz w:val="32"/>
          <w:szCs w:val="32"/>
        </w:rPr>
        <w:t xml:space="preserve">4. FAQ</w:t>
      </w:r>
    </w:p>
    <w:p>
      <w:pPr>
        <w:spacing w:after="120" w:before="0"/>
      </w:pPr>
      <w:r>
        <w:rPr>
          <w:rFonts w:ascii="Calibri" w:cs="Calibri" w:eastAsia="Calibri" w:hAnsi="Calibri"/>
          <w:sz w:val="21"/>
          <w:szCs w:val="21"/>
        </w:rPr>
        <w:t xml:space="preserve">Nine questions. Every answer opens with the answer in roughly 40 to 60 words, then explains. That structure is what makes a page quotable by an AI answer engine, and it is what the NEPRA page already does well.</w:t>
      </w:r>
    </w:p>
    <w:p>
      <w:pPr>
        <w:spacing w:after="60"/>
      </w:pPr>
      <w:r>
        <w:rPr>
          <w:sz w:val="2"/>
          <w:szCs w:val="2"/>
        </w:rPr>
        <w:t xml:space="preserve"/>
      </w:r>
    </w:p>
    <w:p>
      <w:pPr>
        <w:pStyle w:val="ListParagraph"/>
        <w:numPr>
          <w:ilvl w:val="0"/>
          <w:numId w:val="3"/>
        </w:numPr>
        <w:spacing w:after="80"/>
      </w:pPr>
      <w:r>
        <w:rPr>
          <w:rFonts w:ascii="Calibri" w:cs="Calibri" w:eastAsia="Calibri" w:hAnsi="Calibri"/>
          <w:sz w:val="21"/>
          <w:szCs w:val="21"/>
        </w:rPr>
        <w:t xml:space="preserve">All nine go into FAQPage schema.</w:t>
      </w:r>
    </w:p>
    <w:p>
      <w:pPr>
        <w:pStyle w:val="ListParagraph"/>
        <w:numPr>
          <w:ilvl w:val="0"/>
          <w:numId w:val="3"/>
        </w:numPr>
        <w:spacing w:after="80"/>
      </w:pPr>
      <w:r>
        <w:rPr>
          <w:rFonts w:ascii="Calibri" w:cs="Calibri" w:eastAsia="Calibri" w:hAnsi="Calibri"/>
          <w:sz w:val="21"/>
          <w:szCs w:val="21"/>
        </w:rPr>
        <w:t xml:space="preserve">All nine must be in server-rendered HTML, collapsed visually if needed.</w:t>
      </w:r>
    </w:p>
    <w:p>
      <w:pPr>
        <w:pStyle w:val="ListParagraph"/>
        <w:numPr>
          <w:ilvl w:val="0"/>
          <w:numId w:val="3"/>
        </w:numPr>
        <w:spacing w:after="80"/>
      </w:pPr>
      <w:r>
        <w:rPr>
          <w:rFonts w:ascii="Calibri" w:cs="Calibri" w:eastAsia="Calibri" w:hAnsi="Calibri"/>
          <w:sz w:val="21"/>
          <w:szCs w:val="21"/>
        </w:rPr>
        <w:t xml:space="preserve">Every claim below has been checked against approved_claims.md. Do not reword without a re-check.</w:t>
      </w:r>
    </w:p>
    <w:p>
      <w:pPr>
        <w:spacing w:after="16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 How do cloud, data and application development fit together in a digital transformation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They run in dependency order. Cloud is the foundation — the compute and storage AI workloads actually scale on. Data infrastructure sits on top: the pipelines, quality and governance that make outputs trustworthy. Applications are the layer your users and AI systems touch. Skip a layer and the one above it inherits the problem.</w:t>
            </w:r>
          </w:p>
          <w:p>
            <w:pPr>
              <w:spacing w:after="60"/>
            </w:pPr>
            <w:r>
              <w:rPr>
                <w:rFonts w:ascii="Calibri" w:cs="Calibri" w:eastAsia="Calibri" w:hAnsi="Calibri"/>
                <w:sz w:val="21"/>
                <w:szCs w:val="21"/>
              </w:rPr>
              <w:t xml:space="preserve">In practice you rarely need all three at once. We scope which layer is actually blocking your first use case and start there — not with a full-stack program.</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Q2. Do we need to modernize our infrastructure before starting an AI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Not always. But every AI initiative surfaces infrastructure gaps, usually fragmented data or compute that cannot support training and inference. Finding them during a readiness review costs days. Finding them mid-build costs a quarter. We scope the minimum foundation your first use case needs, not a rebuild.</w:t>
            </w:r>
          </w:p>
        </w:tc>
      </w:tr>
    </w:tbl>
    <w:p>
      <w:pPr>
        <w:spacing w:after="160" w:before="80"/>
      </w:pPr>
      <w:r>
        <w:rPr>
          <w:rFonts w:ascii="Calibri" w:cs="Calibri" w:eastAsia="Calibri" w:hAnsi="Calibri"/>
          <w:b/>
          <w:bCs/>
          <w:color w:val="5A5A6E"/>
          <w:sz w:val="19"/>
          <w:szCs w:val="19"/>
        </w:rPr>
        <w:t xml:space="preserve">Gated link. </w:t>
      </w:r>
      <w:r>
        <w:rPr>
          <w:rFonts w:ascii="Calibri" w:cs="Calibri" w:eastAsia="Calibri" w:hAnsi="Calibri"/>
          <w:i/>
          <w:iCs/>
          <w:color w:val="5A5A6E"/>
          <w:sz w:val="19"/>
          <w:szCs w:val="19"/>
        </w:rPr>
        <w:t xml:space="preserve">Q2 originally linked to the AI Readiness Assessment. Do not add that link until the diagnostic exists. Link to the Data &amp; Infrastructure Review instead.</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Q3. What does legacy system modernization actually involve?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Usually phased migration, not a full rebuild. We assess which legacy systems are genuinely blocking AI and data work — typically the ones with no API and no path to one — and leave the rest alone. xLoop has migrated legacy RPG applications to private cloud with minimal operational disruption.</w:t>
            </w:r>
          </w:p>
          <w:p>
            <w:pPr>
              <w:spacing w:after="60"/>
            </w:pPr>
            <w:r>
              <w:rPr>
                <w:rFonts w:ascii="Calibri" w:cs="Calibri" w:eastAsia="Calibri" w:hAnsi="Calibri"/>
                <w:sz w:val="21"/>
                <w:szCs w:val="21"/>
              </w:rPr>
              <w:t xml:space="preserve">Phasing matters more than speed: each stage should deliver something usable, so the business is never waiting on a big-bang cutover. Timelines depend on how tightly the legacy system is coupled to everything around it, which is what the assessment establishes first.</w:t>
            </w:r>
          </w:p>
        </w:tc>
      </w:tr>
    </w:tbl>
    <w:p>
      <w:pPr>
        <w:spacing w:after="160" w:before="80"/>
      </w:pPr>
      <w:r>
        <w:rPr>
          <w:rFonts w:ascii="Calibri" w:cs="Calibri" w:eastAsia="Calibri" w:hAnsi="Calibri"/>
          <w:b/>
          <w:bCs/>
          <w:color w:val="5A5A6E"/>
          <w:sz w:val="19"/>
          <w:szCs w:val="19"/>
        </w:rPr>
        <w:t xml:space="preserve">Conditional. </w:t>
      </w:r>
      <w:r>
        <w:rPr>
          <w:rFonts w:ascii="Calibri" w:cs="Calibri" w:eastAsia="Calibri" w:hAnsi="Calibri"/>
          <w:i/>
          <w:iCs/>
          <w:color w:val="5A5A6E"/>
          <w:sz w:val="19"/>
          <w:szCs w:val="19"/>
        </w:rPr>
        <w:t xml:space="preserve">Publish Q3 only once /services/legacy-system-modernization is live.</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Q4. Can you work with our existing cloud provider, or do you require a specific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We work with what you already have, and we have a point of view. Our technology partners are AWS, Microsoft, Snowflake, Databricks and Salesforce, and our deepest delivery history is Snowflake and Databricks — including a medallion lakehouse migration off SAP onto Snowflake and AWS, feeding real-time Power BI.</w:t>
            </w:r>
          </w:p>
          <w:p>
            <w:pPr>
              <w:spacing w:after="60"/>
            </w:pPr>
            <w:r>
              <w:rPr>
                <w:rFonts w:ascii="Calibri" w:cs="Calibri" w:eastAsia="Calibri" w:hAnsi="Calibri"/>
                <w:sz w:val="21"/>
                <w:szCs w:val="21"/>
              </w:rPr>
              <w:t xml:space="preserve">The architecture matters more than the badge. Medallion layering, governance and pipeline design carry across the major lakehouse platforms; what changes is the ecosystem around them. We recommend the platform your data residency, existing licenses and team skills actually support — and we tell you at scoping which parts we take on directly and where you would want a platform specialist alongside us.</w:t>
            </w:r>
          </w:p>
        </w:tc>
      </w:tr>
    </w:tbl>
    <w:p>
      <w:pPr>
        <w:spacing w:after="160" w:before="80"/>
      </w:pPr>
      <w:r>
        <w:rPr>
          <w:rFonts w:ascii="Calibri" w:cs="Calibri" w:eastAsia="Calibri" w:hAnsi="Calibri"/>
          <w:b/>
          <w:bCs/>
          <w:color w:val="5A5A6E"/>
          <w:sz w:val="19"/>
          <w:szCs w:val="19"/>
        </w:rPr>
        <w:t xml:space="preserve">Do not name Microsoft Fabric anywhere in this answer. </w:t>
      </w:r>
      <w:r>
        <w:rPr>
          <w:rFonts w:ascii="Calibri" w:cs="Calibri" w:eastAsia="Calibri" w:hAnsi="Calibri"/>
          <w:i/>
          <w:iCs/>
          <w:color w:val="5A5A6E"/>
          <w:sz w:val="19"/>
          <w:szCs w:val="19"/>
        </w:rPr>
        <w:t xml:space="preserve">xLoop has not delivered a production Fabric implementation and holds no Solutions Partner designation. The wording above covers the question honestly without raising a gap the buyer did not ask about. The candid Fabric answer belongs in the sales battlecard, not on the website.</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Q5. What is the difference between digital transformation and AI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AI implementation builds the model or the agent. Digital transformation builds what it runs on — the data pipelines, cloud architecture and applications underneath. They are usually bought separately and they fail together: most stalled AI programs are infrastructure problems wearing an AI label.</w:t>
            </w:r>
          </w:p>
        </w:tc>
      </w:tr>
    </w:tbl>
    <w:p>
      <w:pPr>
        <w:spacing w:after="160" w:before="80"/>
      </w:pPr>
      <w:r>
        <w:rPr>
          <w:rFonts w:ascii="Calibri" w:cs="Calibri" w:eastAsia="Calibri" w:hAnsi="Calibri"/>
          <w:b/>
          <w:bCs/>
          <w:color w:val="5A5A6E"/>
          <w:sz w:val="19"/>
          <w:szCs w:val="19"/>
        </w:rPr>
        <w:t xml:space="preserve">Add link. </w:t>
      </w:r>
      <w:r>
        <w:rPr>
          <w:rFonts w:ascii="Calibri" w:cs="Calibri" w:eastAsia="Calibri" w:hAnsi="Calibri"/>
          <w:i/>
          <w:iCs/>
          <w:color w:val="5A5A6E"/>
          <w:sz w:val="19"/>
          <w:szCs w:val="19"/>
        </w:rPr>
        <w:t xml:space="preserve">Link "AI implementation" to the Applied AI Solutions pillar page.</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Q6. How do we know whether our data is AI-ready?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Four tests. Can you trace a number in a report back to its source system? Is the same customer the same record everywhere? Can a pipeline be rerun without a person? Does anyone own data quality by name? A no to any of them will surface as a model problem later.</w:t>
            </w:r>
          </w:p>
          <w:p>
            <w:pPr>
              <w:spacing w:after="60"/>
            </w:pPr>
            <w:r>
              <w:rPr>
                <w:rFonts w:ascii="Calibri" w:cs="Calibri" w:eastAsia="Calibri" w:hAnsi="Calibri"/>
                <w:sz w:val="21"/>
                <w:szCs w:val="21"/>
              </w:rPr>
              <w:t xml:space="preserve">We assess all four before recommending any AI build, because the failure looks identical from the outside — the model appears wrong when the data underneath it is.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Q7. What are the most common reasons enterprise AI projects fail for infrastructure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Three, in order. Fragmented, low-quality data that limits both performance and governance. Cloud environments that cannot support training, inference or scaling efficiently. Monolithic applications with no APIs, so the model has nowhere to plug in.</w:t>
            </w:r>
          </w:p>
          <w:p>
            <w:pPr>
              <w:spacing w:after="60"/>
            </w:pPr>
            <w:r>
              <w:rPr>
                <w:rFonts w:ascii="Calibri" w:cs="Calibri" w:eastAsia="Calibri" w:hAnsi="Calibri"/>
                <w:sz w:val="21"/>
                <w:szCs w:val="21"/>
              </w:rPr>
              <w:t xml:space="preserve">None of these are model problems, and none are visible from a proof of concept — which is why so many programs clear the pilot and stall at production.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Q8. How do engagements work — fixed scope, embedded team, or ongoing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All three. Fixed-scope projects where we take ownership of delivery to a defined budget and timeline. Embedded specialists who join your team when you need capability rather than a project. Retainer-based advisory for organizations running several initiatives at once. The review determines which one fits.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Q9. Will your team replace ours, or work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Work with it. Most of our data and platform engagements run alongside an existing in-house team — we bring the specific migration or architecture experience, your team keeps ownership of the system afterwards. Knowledge transfer is part of the scope, not an add-on.</w:t>
            </w:r>
          </w:p>
        </w:tc>
      </w:tr>
    </w:tbl>
    <w:p>
      <w:pPr>
        <w:spacing w:after="80"/>
      </w:pPr>
      <w:r>
        <w:rPr>
          <w:sz w:val="2"/>
          <w:szCs w:val="2"/>
        </w:rPr>
        <w:t xml:space="preserve"/>
      </w:r>
    </w:p>
    <w:p>
      <w:r>
        <w:br w:type="page"/>
      </w:r>
    </w:p>
    <w:p>
      <w:pPr>
        <w:pStyle w:val="Heading1"/>
        <w:spacing w:after="160" w:before="360"/>
      </w:pPr>
      <w:r>
        <w:rPr>
          <w:rFonts w:ascii="Calibri" w:cs="Calibri" w:eastAsia="Calibri" w:hAnsi="Calibri"/>
          <w:b/>
          <w:bCs/>
          <w:color w:val="1B1B3A"/>
          <w:sz w:val="32"/>
          <w:szCs w:val="32"/>
        </w:rPr>
        <w:t xml:space="preserve">5. Closing CTA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Is Your Infrastructure Ready for What You Are Trying to Build?</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Start with a Data &amp; Infrastructure Review. We look at what you actually run — data, cloud and applications — and tell you which layer is blocking the AI work you have planned, and which layers you can leave alone for now.</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Data &amp; Infrastructure Review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Talk to an architect →</w:t>
            </w:r>
          </w:p>
        </w:tc>
      </w:tr>
    </w:tbl>
    <w:p>
      <w:pPr>
        <w:spacing w:after="100"/>
      </w:pPr>
      <w:r>
        <w:rPr>
          <w:sz w:val="2"/>
          <w:szCs w:val="2"/>
        </w:rPr>
        <w:t xml:space="preserve"/>
      </w:r>
    </w:p>
    <w:p>
      <w:pPr>
        <w:pStyle w:val="Heading2"/>
        <w:spacing w:after="140" w:before="300"/>
      </w:pPr>
      <w:r>
        <w:rPr>
          <w:rFonts w:ascii="Calibri" w:cs="Calibri" w:eastAsia="Calibri" w:hAnsi="Calibri"/>
          <w:b/>
          <w:bCs/>
          <w:color w:val="2E5AAC"/>
          <w:sz w:val="26"/>
          <w:szCs w:val="26"/>
        </w:rPr>
        <w:t xml:space="preserve">Add one disqualifier</w:t>
      </w:r>
    </w:p>
    <w:p>
      <w:pPr>
        <w:spacing w:after="120" w:before="0"/>
      </w:pPr>
      <w:r>
        <w:rPr>
          <w:rFonts w:ascii="Calibri" w:cs="Calibri" w:eastAsia="Calibri" w:hAnsi="Calibri"/>
          <w:sz w:val="21"/>
          <w:szCs w:val="21"/>
        </w:rPr>
        <w:t xml:space="preserve">Place near the CTA, in smaller text. Nobody in the competitive set publishes anything like this, and it improves lead quality more than another service card would.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COPY</w:t>
            </w:r>
          </w:p>
          <w:p>
            <w:pPr>
              <w:spacing w:after="60"/>
            </w:pPr>
            <w:r>
              <w:rPr>
                <w:rFonts w:ascii="Calibri" w:cs="Calibri" w:eastAsia="Calibri" w:hAnsi="Calibri"/>
                <w:sz w:val="21"/>
                <w:szCs w:val="21"/>
              </w:rPr>
              <w:t xml:space="preserve">We do not start greenfield AI builds without a data assessment first. If that is not how you want to work, we are probably not the right firm.</w:t>
            </w:r>
          </w:p>
        </w:tc>
      </w:tr>
    </w:tbl>
    <w:p>
      <w:pPr>
        <w:pStyle w:val="Heading1"/>
        <w:spacing w:after="160" w:before="360"/>
      </w:pPr>
      <w:r>
        <w:rPr>
          <w:rFonts w:ascii="Calibri" w:cs="Calibri" w:eastAsia="Calibri" w:hAnsi="Calibri"/>
          <w:b/>
          <w:bCs/>
          <w:color w:val="1B1B3A"/>
          <w:sz w:val="32"/>
          <w:szCs w:val="32"/>
        </w:rPr>
        <w:t xml:space="preserve">6. Internal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From</w:t>
            </w:r>
          </w:p>
        </w:tc>
        <w:tc>
          <w:tcPr>
            <w:tcW w:type="dxa" w:w="32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To</w:t>
            </w:r>
          </w:p>
        </w:tc>
        <w:tc>
          <w:tcPr>
            <w:tcW w:type="dxa" w:w="3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Anchor text</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xTend mega-menu</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(group header — already matches live nav)</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All five cluster children</w:t>
            </w:r>
          </w:p>
        </w:tc>
        <w:tc>
          <w:tcPr>
            <w:tcW w:type="dxa" w:w="3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 name as written on the card</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Applied AI Solutions pillar</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 implementation</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Applied AI Solutions pillar</w:t>
            </w:r>
          </w:p>
        </w:tc>
        <w:tc>
          <w:tcPr>
            <w:tcW w:type="dxa" w:w="3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infrastructure underneath</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Blog: why-enterprise-ai-projects-stall</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foundation first</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Blog: building-scalable-ai-infrastructure</w:t>
            </w:r>
          </w:p>
        </w:tc>
        <w:tc>
          <w:tcPr>
            <w:tcW w:type="dxa" w:w="3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services</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Both blogs</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 a resources block, not as proof</w:t>
            </w:r>
          </w:p>
        </w:tc>
      </w:tr>
    </w:tbl>
    <w:p>
      <w:pPr>
        <w:spacing w:after="160" w:before="80"/>
      </w:pPr>
      <w:r>
        <w:rPr>
          <w:rFonts w:ascii="Calibri" w:cs="Calibri" w:eastAsia="Calibri" w:hAnsi="Calibri"/>
          <w:b/>
          <w:bCs/>
          <w:color w:val="5A5A6E"/>
          <w:sz w:val="19"/>
          <w:szCs w:val="19"/>
        </w:rPr>
        <w:t xml:space="preserve">Why the blog links matter most. </w:t>
      </w:r>
      <w:r>
        <w:rPr>
          <w:rFonts w:ascii="Calibri" w:cs="Calibri" w:eastAsia="Calibri" w:hAnsi="Calibri"/>
          <w:i/>
          <w:iCs/>
          <w:color w:val="5A5A6E"/>
          <w:sz w:val="19"/>
          <w:szCs w:val="19"/>
        </w:rPr>
        <w:t xml:space="preserve">xLoop ranks at position 1.0 for several "why AI projects fail" queries and earns zero clicks on them. Those readers currently have nowhere commercial to go. This page is that destination.</w:t>
      </w:r>
    </w:p>
    <w:p>
      <w:pPr>
        <w:pStyle w:val="Heading1"/>
        <w:spacing w:after="160" w:before="360"/>
      </w:pPr>
      <w:r>
        <w:rPr>
          <w:rFonts w:ascii="Calibri" w:cs="Calibri" w:eastAsia="Calibri" w:hAnsi="Calibri"/>
          <w:b/>
          <w:bCs/>
          <w:color w:val="1B1B3A"/>
          <w:sz w:val="32"/>
          <w:szCs w:val="32"/>
        </w:rPr>
        <w:t xml:space="preserve">7. What changed from the original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Change</w:t>
            </w:r>
          </w:p>
        </w:tc>
        <w:tc>
          <w:tcPr>
            <w:tcW w:type="dxa" w:w="4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Reason</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Title cut from 88 to 57 characters</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original truncated in results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Meta cut from 216 to 152 characters</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original would have been rewritten by Google</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H1 changed to carry the target phrase</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Original H1, title, nav and section heading named four different things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Primary CTA changed from "AI Readiness Score"</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That diagnostic does not exist yet</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FAQ expanded from 4 to 9, written as real answers</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brief contained writing guidelines, not answers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Definition block added</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Nothing on the page was extractable by an answer engine</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"Which layer do you fix first" table added</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routing job the hub exists for, and the most quotable asset available</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Section 3 heading made question-shaped</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Matches queries xLoop already ranks first for</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Proof expanded from 3 items to 5 plus 2 testimonials</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original used a blog post as proof and ignored named, signed testimonials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Engagement models, partner band, industries, disqualifier added</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on competitor pages, absent from the brief</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Fifth service card added (Software &amp; Product Engineering)</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Engineering is now a child of this cluster, not a rival hub</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Blog removed from the proof section</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framework post is not proof</w:t>
            </w:r>
          </w:p>
        </w:tc>
      </w:tr>
    </w:tbl>
    <w:p>
      <w:pPr>
        <w:pStyle w:val="Heading1"/>
        <w:spacing w:after="160" w:before="360"/>
      </w:pPr>
      <w:r>
        <w:rPr>
          <w:rFonts w:ascii="Calibri" w:cs="Calibri" w:eastAsia="Calibri" w:hAnsi="Calibri"/>
          <w:b/>
          <w:bCs/>
          <w:color w:val="1B1B3A"/>
          <w:sz w:val="32"/>
          <w:szCs w:val="32"/>
        </w:rPr>
        <w:t xml:space="preserve">8. Positioning check</w:t>
      </w:r>
    </w:p>
    <w:p>
      <w:pPr>
        <w:spacing w:after="120" w:before="0"/>
      </w:pPr>
      <w:r>
        <w:rPr>
          <w:rFonts w:ascii="Calibri" w:cs="Calibri" w:eastAsia="Calibri" w:hAnsi="Calibri"/>
          <w:sz w:val="21"/>
          <w:szCs w:val="21"/>
        </w:rPr>
        <w:t xml:space="preserve">Four tests every page has to pass before it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Test</w:t>
            </w:r>
          </w:p>
        </w:tc>
        <w:tc>
          <w:tcPr>
            <w:tcW w:type="dxa" w:w="45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Result</w:t>
            </w:r>
          </w:p>
        </w:tc>
      </w:tr>
      <w:tr>
        <w:tc>
          <w:tcPr>
            <w:tcW w:type="dxa" w:w="4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Substitution — replace "xLoop" with a competitor name. Does it still read true?</w:t>
            </w:r>
          </w:p>
        </w:tc>
        <w:tc>
          <w:tcPr>
            <w:tcW w:type="dxa" w:w="4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Passes. The failure argument and the disqualifier are specific to this firm</w:t>
            </w:r>
          </w:p>
        </w:tc>
      </w:tr>
      <w:tr>
        <w:tc>
          <w:tcPr>
            <w:tcW w:type="dxa" w:w="4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Evidence — can every number and capability be traced to a source?</w:t>
            </w:r>
          </w:p>
        </w:tc>
        <w:tc>
          <w:tcPr>
            <w:tcW w:type="dxa" w:w="45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Passes. All five proof items and both testimonials are on the approved list</w:t>
            </w:r>
          </w:p>
        </w:tc>
      </w:tr>
      <w:tr>
        <w:tc>
          <w:tcPr>
            <w:tcW w:type="dxa" w:w="4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Buyer — would the named persona recognize their problem in the first two sentences?</w:t>
            </w:r>
          </w:p>
        </w:tc>
        <w:tc>
          <w:tcPr>
            <w:tcW w:type="dxa" w:w="4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Passes for the CDO and the CIO sponsor</w:t>
            </w:r>
          </w:p>
        </w:tc>
      </w:tr>
      <w:tr>
        <w:tc>
          <w:tcPr>
            <w:tcW w:type="dxa" w:w="4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Regulator — if a compliance officer read this, would anything need retracting?</w:t>
            </w:r>
          </w:p>
        </w:tc>
        <w:tc>
          <w:tcPr>
            <w:tcW w:type="dxa" w:w="45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Passes, provided the unsourced percentages in §3.6 stay off the page</w:t>
            </w:r>
          </w:p>
        </w:tc>
      </w:tr>
    </w:tbl>
    <w:p>
      <w:pPr>
        <w:pStyle w:val="Heading1"/>
        <w:spacing w:after="160" w:before="360"/>
      </w:pPr>
      <w:r>
        <w:rPr>
          <w:rFonts w:ascii="Calibri" w:cs="Calibri" w:eastAsia="Calibri" w:hAnsi="Calibri"/>
          <w:b/>
          <w:bCs/>
          <w:color w:val="1B1B3A"/>
          <w:sz w:val="32"/>
          <w:szCs w:val="32"/>
        </w:rPr>
        <w:t xml:space="preserve">9. Dependencies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1700"/>
        <w:gridCol w:w="27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4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Dependency</w:t>
            </w:r>
          </w:p>
        </w:tc>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Owner</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Blocks</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Narrow /digital-engineering — five edits in §1</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Content + Dev</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Card 5, and the whole cluster logic</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Build and publish /services/legacy-system-modernization</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Content + Dev</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Card 3 and FAQ Q3</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doubled "| xLoop Digital | xLoop Digital" title suffix</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 page on the site</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Canonical tags sitewide</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Indexation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Partner band needs real HTML text</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 + Design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 discoverability</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Confirm the Data &amp; Infrastructure Review is a real, bookable offer</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Sales</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Both CTAs</w:t>
            </w:r>
          </w:p>
        </w:tc>
      </w:tr>
    </w:tbl>
    <w:p>
      <w:pPr>
        <w:pStyle w:val="Heading1"/>
        <w:spacing w:after="160" w:before="360"/>
      </w:pPr>
      <w:r>
        <w:rPr>
          <w:rFonts w:ascii="Calibri" w:cs="Calibri" w:eastAsia="Calibri" w:hAnsi="Calibri"/>
          <w:b/>
          <w:bCs/>
          <w:color w:val="1B1B3A"/>
          <w:sz w:val="32"/>
          <w:szCs w:val="32"/>
        </w:rPr>
        <w:t xml:space="preserve">10. Content governance — do not publish</w:t>
      </w:r>
    </w:p>
    <w:p>
      <w:pPr>
        <w:spacing w:after="120" w:before="0"/>
      </w:pPr>
      <w:r>
        <w:rPr>
          <w:rFonts w:ascii="Calibri" w:cs="Calibri" w:eastAsia="Calibri" w:hAnsi="Calibri"/>
          <w:b/>
          <w:bCs/>
          <w:sz w:val="21"/>
          <w:szCs w:val="21"/>
        </w:rPr>
        <w:t xml:space="preserve">These are not style preferences. Each one is either unsourced, unverifiable or belongs to somebody else.</w:t>
      </w:r>
    </w:p>
    <w:p>
      <w:pPr>
        <w:spacing w:after="60"/>
      </w:pPr>
      <w:r>
        <w:rPr>
          <w:sz w:val="2"/>
          <w:szCs w:val="2"/>
        </w:rPr>
        <w:t xml:space="preserve"/>
      </w:r>
    </w:p>
    <w:p>
      <w:pPr>
        <w:pStyle w:val="ListParagraph"/>
        <w:numPr>
          <w:ilvl w:val="0"/>
          <w:numId w:val="3"/>
        </w:numPr>
        <w:spacing w:after="80"/>
      </w:pPr>
      <w:r>
        <w:rPr>
          <w:rFonts w:ascii="Calibri" w:cs="Calibri" w:eastAsia="Calibri" w:hAnsi="Calibri"/>
          <w:sz w:val="21"/>
          <w:szCs w:val="21"/>
        </w:rPr>
        <w:t xml:space="preserve">Any percentage from the current /digital-engineering case cards. Listed in §3.6.</w:t>
      </w:r>
    </w:p>
    <w:p>
      <w:pPr>
        <w:pStyle w:val="ListParagraph"/>
        <w:numPr>
          <w:ilvl w:val="0"/>
          <w:numId w:val="3"/>
        </w:numPr>
        <w:spacing w:after="80"/>
      </w:pPr>
      <w:r>
        <w:rPr>
          <w:rFonts w:ascii="Calibri" w:cs="Calibri" w:eastAsia="Calibri" w:hAnsi="Calibri"/>
          <w:sz w:val="21"/>
          <w:szCs w:val="21"/>
        </w:rPr>
        <w:t xml:space="preserve">Microsoft Fabric — in any form. No production implementation exists.</w:t>
      </w:r>
    </w:p>
    <w:p>
      <w:pPr>
        <w:pStyle w:val="ListParagraph"/>
        <w:numPr>
          <w:ilvl w:val="0"/>
          <w:numId w:val="3"/>
        </w:numPr>
        <w:spacing w:after="80"/>
      </w:pPr>
      <w:r>
        <w:rPr>
          <w:rFonts w:ascii="Calibri" w:cs="Calibri" w:eastAsia="Calibri" w:hAnsi="Calibri"/>
          <w:sz w:val="21"/>
          <w:szCs w:val="21"/>
        </w:rPr>
        <w:t xml:space="preserve">Any implication of a Microsoft Solutions Partner designation. xLoop holds base partner status only.</w:t>
      </w:r>
    </w:p>
    <w:p>
      <w:pPr>
        <w:pStyle w:val="ListParagraph"/>
        <w:numPr>
          <w:ilvl w:val="0"/>
          <w:numId w:val="3"/>
        </w:numPr>
        <w:spacing w:after="80"/>
      </w:pPr>
      <w:r>
        <w:rPr>
          <w:rFonts w:ascii="Calibri" w:cs="Calibri" w:eastAsia="Calibri" w:hAnsi="Calibri"/>
          <w:sz w:val="21"/>
          <w:szCs w:val="21"/>
        </w:rPr>
        <w:t xml:space="preserve">"ISO 27001 certified" or "ISO 42001 certified". The correct claim is "Certified ISO 27001 and ISO 42001 Lead Auditors" — individual level.</w:t>
      </w:r>
    </w:p>
    <w:p>
      <w:pPr>
        <w:pStyle w:val="ListParagraph"/>
        <w:numPr>
          <w:ilvl w:val="0"/>
          <w:numId w:val="3"/>
        </w:numPr>
        <w:spacing w:after="80"/>
      </w:pPr>
      <w:r>
        <w:rPr>
          <w:rFonts w:ascii="Calibri" w:cs="Calibri" w:eastAsia="Calibri" w:hAnsi="Calibri"/>
          <w:sz w:val="21"/>
          <w:szCs w:val="21"/>
        </w:rPr>
        <w:t xml:space="preserve">Founding year, headcount, country count or number of solutions delivered. Sources contradict each other; these are still being adjudicated.</w:t>
      </w:r>
    </w:p>
    <w:p>
      <w:pPr>
        <w:pStyle w:val="ListParagraph"/>
        <w:numPr>
          <w:ilvl w:val="0"/>
          <w:numId w:val="3"/>
        </w:numPr>
        <w:spacing w:after="80"/>
      </w:pPr>
      <w:r>
        <w:rPr>
          <w:rFonts w:ascii="Calibri" w:cs="Calibri" w:eastAsia="Calibri" w:hAnsi="Calibri"/>
          <w:sz w:val="21"/>
          <w:szCs w:val="21"/>
        </w:rPr>
        <w:t xml:space="preserve">Client names other than those with a live portfolio page, a live logo placement or a signed testimonial.</w:t>
      </w:r>
    </w:p>
    <w:p>
      <w:pPr>
        <w:pStyle w:val="ListParagraph"/>
        <w:numPr>
          <w:ilvl w:val="0"/>
          <w:numId w:val="3"/>
        </w:numPr>
        <w:spacing w:after="80"/>
      </w:pPr>
      <w:r>
        <w:rPr>
          <w:rFonts w:ascii="Calibri" w:cs="Calibri" w:eastAsia="Calibri" w:hAnsi="Calibri"/>
          <w:sz w:val="21"/>
          <w:szCs w:val="21"/>
        </w:rPr>
        <w:t xml:space="preserve">"World-class", "best-in-class", "industry-leading", "cutting-edge", "end-to-end", "comprehensive", "tailored to your unique needs".</w:t>
      </w:r>
    </w:p>
    <w:p>
      <w:pPr>
        <w:pStyle w:val="ListParagraph"/>
        <w:numPr>
          <w:ilvl w:val="0"/>
          <w:numId w:val="3"/>
        </w:numPr>
        <w:spacing w:after="80"/>
      </w:pPr>
      <w:r>
        <w:rPr>
          <w:rFonts w:ascii="Calibri" w:cs="Calibri" w:eastAsia="Calibri" w:hAnsi="Calibri"/>
          <w:sz w:val="21"/>
          <w:szCs w:val="21"/>
        </w:rPr>
        <w:t xml:space="preserve">Any statistic without a client, a period and a method behind it.</w:t>
      </w:r>
    </w:p>
    <w:p>
      <w:pPr>
        <w:spacing w:after="160"/>
      </w:pPr>
      <w:r>
        <w:rPr>
          <w:sz w:val="2"/>
          <w:szCs w:val="2"/>
        </w:rPr>
        <w:t xml:space="preserve"/>
      </w:r>
    </w:p>
    <w:p>
      <w:pPr>
        <w:spacing w:after="160" w:before="80"/>
      </w:pPr>
      <w:r>
        <w:rPr>
          <w:rFonts w:ascii="Calibri" w:cs="Calibri" w:eastAsia="Calibri" w:hAnsi="Calibri"/>
          <w:b/>
          <w:bCs/>
          <w:color w:val="5A5A6E"/>
          <w:sz w:val="19"/>
          <w:szCs w:val="19"/>
        </w:rPr>
        <w:t xml:space="preserve">The test. </w:t>
      </w:r>
      <w:r>
        <w:rPr>
          <w:rFonts w:ascii="Calibri" w:cs="Calibri" w:eastAsia="Calibri" w:hAnsi="Calibri"/>
          <w:i/>
          <w:iCs/>
          <w:color w:val="5A5A6E"/>
          <w:sz w:val="19"/>
          <w:szCs w:val="19"/>
        </w:rPr>
        <w:t xml:space="preserve">If a client’s compliance officer, a regulator or a journalist read this page and asked for the evidence, could xLoop produce it within an hour? If not, it does not go on the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Pillar Page — Content Specification</dc:title>
  <dc:creator>xLoop Marketing</dc:creator>
  <dc:description>Content specification for design and development</dc:description>
  <cp:lastModifiedBy>Un-named</cp:lastModifiedBy>
  <cp:revision>1</cp:revision>
  <dcterms:created xsi:type="dcterms:W3CDTF">2026-09-17T04:56:56.692Z</dcterms:created>
  <dcterms:modified xsi:type="dcterms:W3CDTF">2026-09-17T04:56:56.703Z</dcterms:modified>
</cp:coreProperties>
</file>

<file path=docProps/custom.xml><?xml version="1.0" encoding="utf-8"?>
<Properties xmlns="http://schemas.openxmlformats.org/officeDocument/2006/custom-properties" xmlns:vt="http://schemas.openxmlformats.org/officeDocument/2006/docPropsVTypes"/>
</file>