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7658F7C7" w:rsidR="00831EA1" w:rsidRPr="00240098" w:rsidRDefault="00D95291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Shahid Nazir</w:t>
      </w:r>
    </w:p>
    <w:p w14:paraId="06549A75" w14:textId="3870CE7D" w:rsidR="00831EA1" w:rsidRPr="00240098" w:rsidRDefault="00D9529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6D8F47DD" w:rsidR="00240098" w:rsidRDefault="00D95291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National Grid Company Of Pakistan</w:t>
      </w:r>
    </w:p>
    <w:p w14:paraId="04C3DDFA" w14:textId="167DF1EB" w:rsidR="00FD4F09" w:rsidRDefault="00D95291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WAPDA House, Lahore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7D4F08D6" w:rsidR="00831EA1" w:rsidRPr="00240098" w:rsidRDefault="0038234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17CAECBE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95291">
        <w:rPr>
          <w:rFonts w:ascii="Poppins" w:eastAsia="Calibri" w:hAnsi="Poppins" w:cs="Poppins"/>
          <w:color w:val="3A3A3A"/>
          <w:sz w:val="19"/>
          <w:szCs w:val="19"/>
        </w:rPr>
        <w:t>Muhammad Shahid Nazir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FC38262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38234B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95291">
        <w:rPr>
          <w:rFonts w:ascii="Poppins" w:hAnsi="Poppins" w:cs="Poppins"/>
          <w:sz w:val="19"/>
          <w:szCs w:val="19"/>
        </w:rPr>
        <w:t>National Grid Company Of Pakistan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1A1A433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38234B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311A3A03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95291">
        <w:rPr>
          <w:rFonts w:ascii="Poppins" w:eastAsia="Calibri" w:hAnsi="Poppins" w:cs="Poppins"/>
          <w:color w:val="3A3A3A"/>
          <w:sz w:val="19"/>
          <w:szCs w:val="19"/>
        </w:rPr>
        <w:t>National Grid Company Of Pakistan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454DCD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454DCD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454DCD">
        <w:rPr>
          <w:rFonts w:ascii="Poppins" w:hAnsi="Poppins" w:cs="Poppins"/>
          <w:color w:val="3A3A3A"/>
          <w:sz w:val="19"/>
          <w:szCs w:val="19"/>
        </w:rPr>
        <w:lastRenderedPageBreak/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8234B"/>
    <w:rsid w:val="003D28DC"/>
    <w:rsid w:val="00454DCD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95291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