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02727B94" w:rsidR="00831EA1" w:rsidRPr="00240098" w:rsidRDefault="00DA23C9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Zahid Mir</w:t>
      </w:r>
    </w:p>
    <w:p w14:paraId="06549A75" w14:textId="5A6925BB" w:rsidR="00831EA1" w:rsidRPr="00240098" w:rsidRDefault="00DA23C9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433E7F1E" w:rsidR="00240098" w:rsidRDefault="00DA23C9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UCH-II Power Pvt Ltd</w:t>
      </w:r>
    </w:p>
    <w:p w14:paraId="04C3DDFA" w14:textId="341B962E" w:rsidR="00FD4F09" w:rsidRDefault="00DA23C9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House No. 48, Khayaban-e-Iqbal, Main Margalla Road, F-7/2, Islamabad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643470ED" w:rsidR="00831EA1" w:rsidRPr="00240098" w:rsidRDefault="00D72FCC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5F716580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DA23C9">
        <w:rPr>
          <w:rFonts w:ascii="Poppins" w:eastAsia="Calibri" w:hAnsi="Poppins" w:cs="Poppins"/>
          <w:color w:val="3A3A3A"/>
          <w:sz w:val="19"/>
          <w:szCs w:val="19"/>
        </w:rPr>
        <w:t>Zahid Mir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20691F76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D72FCC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DA23C9">
        <w:rPr>
          <w:rFonts w:ascii="Poppins" w:hAnsi="Poppins" w:cs="Poppins"/>
          <w:sz w:val="19"/>
          <w:szCs w:val="19"/>
        </w:rPr>
        <w:t>UCH-II Power Pvt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297D573A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D72FCC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495BCA9A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DA23C9">
        <w:rPr>
          <w:rFonts w:ascii="Poppins" w:eastAsia="Calibri" w:hAnsi="Poppins" w:cs="Poppins"/>
          <w:color w:val="3A3A3A"/>
          <w:sz w:val="19"/>
          <w:szCs w:val="19"/>
        </w:rPr>
        <w:t>UCH-II Power Pvt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D7402F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D7402F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D7402F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72FCC"/>
    <w:rsid w:val="00D7402F"/>
    <w:rsid w:val="00DA23C9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6</cp:revision>
  <dcterms:created xsi:type="dcterms:W3CDTF">2026-08-25T08:20:00Z</dcterms:created>
  <dcterms:modified xsi:type="dcterms:W3CDTF">2026-08-25T10:15:00Z</dcterms:modified>
</cp:coreProperties>
</file>