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228BBC63" w:rsidR="00831EA1" w:rsidRPr="00240098" w:rsidRDefault="00DE0909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Mumtaz Hassan (Syed Mumtaz Hasan)</w:t>
      </w:r>
    </w:p>
    <w:p w14:paraId="06549A75" w14:textId="19B4ADAE" w:rsidR="00831EA1" w:rsidRPr="00240098" w:rsidRDefault="00DE0909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61273E3C" w:rsidR="00240098" w:rsidRDefault="00DE0909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Zorlu Enerji Pakistan</w:t>
      </w:r>
    </w:p>
    <w:p w14:paraId="04C3DDFA" w14:textId="34E70D1E" w:rsidR="00FD4F09" w:rsidRDefault="00DE0909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C-15, Block-2, Clifton, Karachi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07ACF963" w:rsidR="00831EA1" w:rsidRPr="00240098" w:rsidRDefault="002224F3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10BF2BAE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DE0909">
        <w:rPr>
          <w:rFonts w:ascii="Poppins" w:eastAsia="Calibri" w:hAnsi="Poppins" w:cs="Poppins"/>
          <w:color w:val="3A3A3A"/>
          <w:sz w:val="19"/>
          <w:szCs w:val="19"/>
        </w:rPr>
        <w:t>Mumtaz Hassan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0C6F42D9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2224F3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DE0909">
        <w:rPr>
          <w:rFonts w:ascii="Poppins" w:hAnsi="Poppins" w:cs="Poppins"/>
          <w:sz w:val="19"/>
          <w:szCs w:val="19"/>
        </w:rPr>
        <w:t>Zorlu Enerji Pakistan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5491E1E4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2224F3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3270FBDC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DE0909">
        <w:rPr>
          <w:rFonts w:ascii="Poppins" w:eastAsia="Calibri" w:hAnsi="Poppins" w:cs="Poppins"/>
          <w:color w:val="3A3A3A"/>
          <w:sz w:val="19"/>
          <w:szCs w:val="19"/>
        </w:rPr>
        <w:t>Zorlu Enerji Pakistan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8E7FA7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8E7FA7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8E7FA7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224F3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8E7FA7"/>
    <w:rsid w:val="00912295"/>
    <w:rsid w:val="00996975"/>
    <w:rsid w:val="00B36E66"/>
    <w:rsid w:val="00C357B0"/>
    <w:rsid w:val="00C72910"/>
    <w:rsid w:val="00D145BF"/>
    <w:rsid w:val="00D51F52"/>
    <w:rsid w:val="00DA3E30"/>
    <w:rsid w:val="00DE0909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2026-08-25T10:15:00Z</dcterms:modified>
</cp:coreProperties>
</file>