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4DE2" w:rsidRDefault="00633EA7">
      <w:pPr>
        <w:spacing w:before="800" w:after="80"/>
      </w:pPr>
      <w:proofErr w:type="spellStart"/>
      <w:r>
        <w:rPr>
          <w:rFonts w:ascii="Calibri" w:eastAsia="Calibri" w:hAnsi="Calibri" w:cs="Calibri"/>
          <w:b/>
          <w:bCs/>
          <w:color w:val="5A5A6E"/>
        </w:rPr>
        <w:t>xLOOP</w:t>
      </w:r>
      <w:proofErr w:type="spellEnd"/>
      <w:r>
        <w:rPr>
          <w:rFonts w:ascii="Calibri" w:eastAsia="Calibri" w:hAnsi="Calibri" w:cs="Calibri"/>
          <w:b/>
          <w:bCs/>
          <w:color w:val="5A5A6E"/>
        </w:rPr>
        <w:t xml:space="preserve"> DIGITAL</w:t>
      </w:r>
    </w:p>
    <w:p w:rsidR="00A54DE2" w:rsidRDefault="00633EA7">
      <w:pPr>
        <w:spacing w:after="100"/>
      </w:pPr>
      <w:r>
        <w:rPr>
          <w:rFonts w:ascii="Calibri" w:eastAsia="Calibri" w:hAnsi="Calibri" w:cs="Calibri"/>
          <w:b/>
          <w:bCs/>
          <w:color w:val="1B1B3A"/>
          <w:sz w:val="48"/>
          <w:szCs w:val="48"/>
        </w:rPr>
        <w:t>Homepage Revamp 2026–2027</w:t>
      </w:r>
    </w:p>
    <w:p w:rsidR="00A54DE2" w:rsidRDefault="00633EA7">
      <w:pPr>
        <w:spacing w:after="320"/>
      </w:pPr>
      <w:r>
        <w:rPr>
          <w:rFonts w:ascii="Calibri" w:eastAsia="Calibri" w:hAnsi="Calibri" w:cs="Calibri"/>
          <w:color w:val="2E5AAC"/>
          <w:sz w:val="26"/>
          <w:szCs w:val="26"/>
        </w:rPr>
        <w:t>Revised content after sales and CTO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54DE2">
        <w:tblPrEx>
          <w:tblCellMar>
            <w:top w:w="0" w:type="dxa"/>
            <w:bottom w:w="0" w:type="dxa"/>
          </w:tblCellMar>
        </w:tblPrEx>
        <w:trPr>
          <w:tblHeader/>
        </w:trPr>
        <w:tc>
          <w:tcPr>
            <w:tcW w:w="24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Field</w:t>
            </w:r>
          </w:p>
        </w:tc>
        <w:tc>
          <w:tcPr>
            <w:tcW w:w="696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Value</w:t>
            </w:r>
          </w:p>
        </w:tc>
      </w:tr>
      <w:tr w:rsidR="00A54DE2">
        <w:tblPrEx>
          <w:tblCellMar>
            <w:top w:w="0" w:type="dxa"/>
            <w:bottom w:w="0" w:type="dxa"/>
          </w:tblCellMar>
        </w:tblPrEx>
        <w:tc>
          <w:tcPr>
            <w:tcW w:w="2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Source</w:t>
            </w:r>
          </w:p>
        </w:tc>
        <w:tc>
          <w:tcPr>
            <w:tcW w:w="69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2026 homepage revamp v1 1.docx</w:t>
            </w:r>
          </w:p>
        </w:tc>
      </w:tr>
      <w:tr w:rsidR="00A54DE2">
        <w:tblPrEx>
          <w:tblCellMar>
            <w:top w:w="0" w:type="dxa"/>
            <w:bottom w:w="0" w:type="dxa"/>
          </w:tblCellMar>
        </w:tblPrEx>
        <w:tc>
          <w:tcPr>
            <w:tcW w:w="2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Version</w:t>
            </w:r>
          </w:p>
        </w:tc>
        <w:tc>
          <w:tcPr>
            <w:tcW w:w="69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v2 — 18 September 2026</w:t>
            </w:r>
          </w:p>
        </w:tc>
      </w:tr>
      <w:tr w:rsidR="00A54DE2">
        <w:tblPrEx>
          <w:tblCellMar>
            <w:top w:w="0" w:type="dxa"/>
            <w:bottom w:w="0" w:type="dxa"/>
          </w:tblCellMar>
        </w:tblPrEx>
        <w:tc>
          <w:tcPr>
            <w:tcW w:w="2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Reviewed by</w:t>
            </w:r>
          </w:p>
        </w:tc>
        <w:tc>
          <w:tcPr>
            <w:tcW w:w="69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Sales and CTO (feedback relayed by Sana)</w:t>
            </w:r>
          </w:p>
        </w:tc>
      </w:tr>
      <w:tr w:rsidR="00A54DE2">
        <w:tblPrEx>
          <w:tblCellMar>
            <w:top w:w="0" w:type="dxa"/>
            <w:bottom w:w="0" w:type="dxa"/>
          </w:tblCellMar>
        </w:tblPrEx>
        <w:tc>
          <w:tcPr>
            <w:tcW w:w="2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Status</w:t>
            </w:r>
          </w:p>
        </w:tc>
        <w:tc>
          <w:tcPr>
            <w:tcW w:w="69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Ready for design, pending the four decisions in §8</w:t>
            </w:r>
          </w:p>
        </w:tc>
      </w:tr>
    </w:tbl>
    <w:p w:rsidR="00A54DE2" w:rsidRDefault="00A54DE2">
      <w:pPr>
        <w:spacing w:after="240"/>
      </w:pPr>
    </w:p>
    <w:p w:rsidR="00A54DE2" w:rsidRDefault="00633EA7">
      <w:pPr>
        <w:spacing w:before="80" w:after="160"/>
      </w:pPr>
      <w:r>
        <w:rPr>
          <w:rFonts w:ascii="Calibri" w:eastAsia="Calibri" w:hAnsi="Calibri" w:cs="Calibri"/>
          <w:b/>
          <w:bCs/>
          <w:color w:val="5A5A6E"/>
          <w:sz w:val="19"/>
          <w:szCs w:val="19"/>
        </w:rPr>
        <w:t xml:space="preserve">How to read this document. </w:t>
      </w:r>
      <w:r>
        <w:rPr>
          <w:rFonts w:ascii="Calibri" w:eastAsia="Calibri" w:hAnsi="Calibri" w:cs="Calibri"/>
          <w:i/>
          <w:iCs/>
          <w:color w:val="5A5A6E"/>
          <w:sz w:val="19"/>
          <w:szCs w:val="19"/>
        </w:rPr>
        <w:t>Blue-edged boxes are final copy. Everything outside a box is instruction or rationale. Sections not listed as changed stay exactly as in v1.</w:t>
      </w:r>
    </w:p>
    <w:p w:rsidR="00A54DE2" w:rsidRDefault="00633EA7">
      <w:r>
        <w:br w:type="page"/>
      </w:r>
    </w:p>
    <w:p w:rsidR="00A54DE2" w:rsidRDefault="00633EA7">
      <w:pPr>
        <w:pStyle w:val="Heading1"/>
        <w:spacing w:before="360" w:after="160"/>
      </w:pPr>
      <w:r>
        <w:rPr>
          <w:rFonts w:ascii="Calibri" w:eastAsia="Calibri" w:hAnsi="Calibri" w:cs="Calibri"/>
          <w:b/>
          <w:bCs/>
          <w:color w:val="1B1B3A"/>
        </w:rPr>
        <w:lastRenderedPageBreak/>
        <w:t>1. What changed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A54DE2">
        <w:tblPrEx>
          <w:tblCellMar>
            <w:top w:w="0" w:type="dxa"/>
            <w:bottom w:w="0" w:type="dxa"/>
          </w:tblCellMar>
        </w:tblPrEx>
        <w:trPr>
          <w:tblHeader/>
        </w:trPr>
        <w:tc>
          <w:tcPr>
            <w:tcW w:w="20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Section</w:t>
            </w:r>
          </w:p>
        </w:tc>
        <w:tc>
          <w:tcPr>
            <w:tcW w:w="37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Change</w:t>
            </w:r>
          </w:p>
        </w:tc>
        <w:tc>
          <w:tcPr>
            <w:tcW w:w="366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Reason</w:t>
            </w:r>
          </w:p>
        </w:tc>
      </w:tr>
      <w:tr w:rsidR="00A54DE2">
        <w:tblPrEx>
          <w:tblCellMar>
            <w:top w:w="0" w:type="dxa"/>
            <w:bottom w:w="0" w:type="dxa"/>
          </w:tblCellMar>
        </w:tblPrEx>
        <w:tc>
          <w:tcPr>
            <w:tcW w:w="20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III. Featured offering</w:t>
            </w:r>
          </w:p>
        </w:tc>
        <w:tc>
          <w:tcPr>
            <w:tcW w:w="3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AI Security assessment replaced with a Data &amp; AI readiness offer</w:t>
            </w:r>
          </w:p>
        </w:tc>
        <w:tc>
          <w:tcPr>
            <w:tcW w:w="3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CTO and sales: the page </w:t>
            </w:r>
            <w:proofErr w:type="gramStart"/>
            <w:r>
              <w:rPr>
                <w:rFonts w:ascii="Calibri" w:eastAsia="Calibri" w:hAnsi="Calibri" w:cs="Calibri"/>
                <w:sz w:val="19"/>
                <w:szCs w:val="19"/>
              </w:rPr>
              <w:t>opens</w:t>
            </w:r>
            <w:proofErr w:type="gramEnd"/>
            <w:r>
              <w:rPr>
                <w:rFonts w:ascii="Calibri" w:eastAsia="Calibri" w:hAnsi="Calibri" w:cs="Calibri"/>
                <w:sz w:val="19"/>
                <w:szCs w:val="19"/>
              </w:rPr>
              <w:t xml:space="preserve"> on data and AI, so the featured tool must too. The AI Security assessment moves to the </w:t>
            </w:r>
            <w:proofErr w:type="spellStart"/>
            <w:r>
              <w:rPr>
                <w:rFonts w:ascii="Calibri" w:eastAsia="Calibri" w:hAnsi="Calibri" w:cs="Calibri"/>
                <w:sz w:val="19"/>
                <w:szCs w:val="19"/>
              </w:rPr>
              <w:t>xSecurity</w:t>
            </w:r>
            <w:proofErr w:type="spellEnd"/>
            <w:r>
              <w:rPr>
                <w:rFonts w:ascii="Calibri" w:eastAsia="Calibri" w:hAnsi="Calibri" w:cs="Calibri"/>
                <w:sz w:val="19"/>
                <w:szCs w:val="19"/>
              </w:rPr>
              <w:t xml:space="preserve"> pages</w:t>
            </w:r>
          </w:p>
        </w:tc>
      </w:tr>
      <w:tr w:rsidR="00A54DE2">
        <w:tblPrEx>
          <w:tblCellMar>
            <w:top w:w="0" w:type="dxa"/>
            <w:bottom w:w="0" w:type="dxa"/>
          </w:tblCellMar>
        </w:tblPrEx>
        <w:tc>
          <w:tcPr>
            <w:tcW w:w="20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Case studies</w:t>
            </w:r>
          </w:p>
        </w:tc>
        <w:tc>
          <w:tcPr>
            <w:tcW w:w="37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Replaced with the five largest engagements; heading changed from "AI in Production"</w:t>
            </w:r>
          </w:p>
        </w:tc>
        <w:tc>
          <w:tcPr>
            <w:tcW w:w="36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CTO: feature only the biggest and best. All four current case boxes carry statistics that are unsourced and on the prohibited list, so "same content as we currently have" c</w:t>
            </w:r>
            <w:r>
              <w:rPr>
                <w:rFonts w:ascii="Calibri" w:eastAsia="Calibri" w:hAnsi="Calibri" w:cs="Calibri"/>
                <w:sz w:val="19"/>
                <w:szCs w:val="19"/>
              </w:rPr>
              <w:t>annot stay</w:t>
            </w:r>
          </w:p>
        </w:tc>
      </w:tr>
      <w:tr w:rsidR="00A54DE2">
        <w:tblPrEx>
          <w:tblCellMar>
            <w:top w:w="0" w:type="dxa"/>
            <w:bottom w:w="0" w:type="dxa"/>
          </w:tblCellMar>
        </w:tblPrEx>
        <w:tc>
          <w:tcPr>
            <w:tcW w:w="20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Industries</w:t>
            </w:r>
          </w:p>
        </w:tc>
        <w:tc>
          <w:tcPr>
            <w:tcW w:w="3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Manufacturing replaced with Mining; each industry now shows the work behind it; three industries without delivered work recommended for removal</w:t>
            </w:r>
          </w:p>
        </w:tc>
        <w:tc>
          <w:tcPr>
            <w:tcW w:w="3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CTO: </w:t>
            </w:r>
            <w:proofErr w:type="spellStart"/>
            <w:r>
              <w:rPr>
                <w:rFonts w:ascii="Calibri" w:eastAsia="Calibri" w:hAnsi="Calibri" w:cs="Calibri"/>
                <w:sz w:val="19"/>
                <w:szCs w:val="19"/>
              </w:rPr>
              <w:t>xLoop</w:t>
            </w:r>
            <w:proofErr w:type="spellEnd"/>
            <w:r>
              <w:rPr>
                <w:rFonts w:ascii="Calibri" w:eastAsia="Calibri" w:hAnsi="Calibri" w:cs="Calibri"/>
                <w:sz w:val="19"/>
                <w:szCs w:val="19"/>
              </w:rPr>
              <w:t xml:space="preserve"> has not worked for a manufacturer; feature real case studies per industry</w:t>
            </w:r>
          </w:p>
        </w:tc>
      </w:tr>
      <w:tr w:rsidR="00A54DE2">
        <w:tblPrEx>
          <w:tblCellMar>
            <w:top w:w="0" w:type="dxa"/>
            <w:bottom w:w="0" w:type="dxa"/>
          </w:tblCellMar>
        </w:tblPrEx>
        <w:tc>
          <w:tcPr>
            <w:tcW w:w="20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Closing CTA band</w:t>
            </w:r>
          </w:p>
        </w:tc>
        <w:tc>
          <w:tcPr>
            <w:tcW w:w="37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Rewritten around data and AI, with no comparison to other firms</w:t>
            </w:r>
          </w:p>
        </w:tc>
        <w:tc>
          <w:tcPr>
            <w:tcW w:w="36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CTO: "Serious enterprises don’t run on generic AI" doesn’t match the page and implies other firms are not serious</w:t>
            </w:r>
          </w:p>
        </w:tc>
      </w:tr>
      <w:tr w:rsidR="00A54DE2">
        <w:tblPrEx>
          <w:tblCellMar>
            <w:top w:w="0" w:type="dxa"/>
            <w:bottom w:w="0" w:type="dxa"/>
          </w:tblCellMar>
        </w:tblPrEx>
        <w:tc>
          <w:tcPr>
            <w:tcW w:w="20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Pillars, footer, nav</w:t>
            </w:r>
          </w:p>
        </w:tc>
        <w:tc>
          <w:tcPr>
            <w:tcW w:w="3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Four small corrections</w:t>
            </w:r>
          </w:p>
        </w:tc>
        <w:tc>
          <w:tcPr>
            <w:tcW w:w="3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See §7</w:t>
            </w:r>
          </w:p>
        </w:tc>
      </w:tr>
    </w:tbl>
    <w:p w:rsidR="00A54DE2" w:rsidRDefault="00633EA7">
      <w:r>
        <w:br w:type="page"/>
      </w:r>
    </w:p>
    <w:p w:rsidR="00A54DE2" w:rsidRDefault="00633EA7">
      <w:pPr>
        <w:pStyle w:val="Heading1"/>
        <w:spacing w:before="360" w:after="160"/>
      </w:pPr>
      <w:r>
        <w:rPr>
          <w:rFonts w:ascii="Calibri" w:eastAsia="Calibri" w:hAnsi="Calibri" w:cs="Calibri"/>
          <w:b/>
          <w:bCs/>
          <w:color w:val="1B1B3A"/>
        </w:rPr>
        <w:lastRenderedPageBreak/>
        <w:t>2. Hero — unchanged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HEADLINE</w:t>
            </w:r>
          </w:p>
          <w:p w:rsidR="00A54DE2" w:rsidRDefault="00633EA7">
            <w:pPr>
              <w:spacing w:after="60"/>
            </w:pPr>
            <w:r>
              <w:rPr>
                <w:rFonts w:ascii="Calibri" w:eastAsia="Calibri" w:hAnsi="Calibri" w:cs="Calibri"/>
                <w:sz w:val="21"/>
                <w:szCs w:val="21"/>
              </w:rPr>
              <w:t>Got Data or Chaos? We fix both.</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SUBHEADING</w:t>
            </w:r>
          </w:p>
          <w:p w:rsidR="00A54DE2" w:rsidRDefault="00633EA7">
            <w:pPr>
              <w:spacing w:after="60"/>
            </w:pPr>
            <w:r>
              <w:rPr>
                <w:rFonts w:ascii="Calibri" w:eastAsia="Calibri" w:hAnsi="Calibri" w:cs="Calibri"/>
                <w:sz w:val="21"/>
                <w:szCs w:val="21"/>
              </w:rPr>
              <w:t>Turn fragmented data streams, legacy bottlenecks, and manual processes into predictable, high-yield AI pipelines. We audit your infrastructure, clean the noise, and deploy autonomous solutions built to scale.</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CTAS AND TRUST LINE</w:t>
            </w:r>
          </w:p>
          <w:p w:rsidR="00A54DE2" w:rsidRDefault="00633EA7">
            <w:pPr>
              <w:spacing w:after="60"/>
            </w:pPr>
            <w:r>
              <w:rPr>
                <w:rFonts w:ascii="Calibri" w:eastAsia="Calibri" w:hAnsi="Calibri" w:cs="Calibri"/>
                <w:sz w:val="21"/>
                <w:szCs w:val="21"/>
              </w:rPr>
              <w:t>CTA 1: Talk to an AI Stra</w:t>
            </w:r>
            <w:r>
              <w:rPr>
                <w:rFonts w:ascii="Calibri" w:eastAsia="Calibri" w:hAnsi="Calibri" w:cs="Calibri"/>
                <w:sz w:val="21"/>
                <w:szCs w:val="21"/>
              </w:rPr>
              <w:t>tegist</w:t>
            </w:r>
          </w:p>
          <w:p w:rsidR="00A54DE2" w:rsidRDefault="00633EA7">
            <w:pPr>
              <w:spacing w:after="60"/>
              <w:rPr>
                <w:rFonts w:ascii="Calibri" w:eastAsia="Calibri" w:hAnsi="Calibri" w:cs="Calibri"/>
                <w:sz w:val="21"/>
                <w:szCs w:val="21"/>
              </w:rPr>
            </w:pPr>
            <w:r>
              <w:rPr>
                <w:rFonts w:ascii="Calibri" w:eastAsia="Calibri" w:hAnsi="Calibri" w:cs="Calibri"/>
                <w:sz w:val="21"/>
                <w:szCs w:val="21"/>
              </w:rPr>
              <w:t>CTA 2: See Our Case Studies</w:t>
            </w:r>
          </w:p>
          <w:p w:rsidR="008F406C" w:rsidRDefault="008F406C">
            <w:pPr>
              <w:spacing w:after="60"/>
            </w:pPr>
          </w:p>
          <w:p w:rsidR="00A54DE2" w:rsidRDefault="00633EA7">
            <w:pPr>
              <w:spacing w:after="60"/>
            </w:pPr>
            <w:r>
              <w:rPr>
                <w:rFonts w:ascii="Calibri" w:eastAsia="Calibri" w:hAnsi="Calibri" w:cs="Calibri"/>
                <w:sz w:val="21"/>
                <w:szCs w:val="21"/>
              </w:rPr>
              <w:t>Trusted by high-growth startups, enterprises &amp; public sector clients across 5 regions</w:t>
            </w:r>
          </w:p>
        </w:tc>
      </w:tr>
    </w:tbl>
    <w:p w:rsidR="00A54DE2" w:rsidRDefault="00633EA7">
      <w:pPr>
        <w:spacing w:before="80" w:after="160"/>
      </w:pPr>
      <w:r>
        <w:rPr>
          <w:rFonts w:ascii="Calibri" w:eastAsia="Calibri" w:hAnsi="Calibri" w:cs="Calibri"/>
          <w:b/>
          <w:bCs/>
          <w:color w:val="5A5A6E"/>
          <w:sz w:val="19"/>
          <w:szCs w:val="19"/>
        </w:rPr>
        <w:t xml:space="preserve">Optional, not part of the review feedback. </w:t>
      </w:r>
      <w:r>
        <w:rPr>
          <w:rFonts w:ascii="Calibri" w:eastAsia="Calibri" w:hAnsi="Calibri" w:cs="Calibri"/>
          <w:i/>
          <w:iCs/>
          <w:color w:val="5A5A6E"/>
          <w:sz w:val="19"/>
          <w:szCs w:val="19"/>
        </w:rPr>
        <w:t>The headline is wordplay and contains no search term. If you want the homepage H1 to rank a</w:t>
      </w:r>
      <w:r>
        <w:rPr>
          <w:rFonts w:ascii="Calibri" w:eastAsia="Calibri" w:hAnsi="Calibri" w:cs="Calibri"/>
          <w:i/>
          <w:iCs/>
          <w:color w:val="5A5A6E"/>
          <w:sz w:val="19"/>
          <w:szCs w:val="19"/>
        </w:rPr>
        <w:t>nd to read plainly to a CIO, an alternative is "Enterprise AI and Data Consulting, From Fragmented Data to Production AI". The current version is fine to ship if sales and the CTO prefer it.</w:t>
      </w:r>
    </w:p>
    <w:p w:rsidR="00A54DE2" w:rsidRDefault="00633EA7">
      <w:pPr>
        <w:pStyle w:val="Heading1"/>
        <w:spacing w:before="360" w:after="160"/>
      </w:pPr>
      <w:r>
        <w:rPr>
          <w:rFonts w:ascii="Calibri" w:eastAsia="Calibri" w:hAnsi="Calibri" w:cs="Calibri"/>
          <w:b/>
          <w:bCs/>
          <w:color w:val="1B1B3A"/>
        </w:rPr>
        <w:t>3. Section III — Featured offering: Data &amp; AI Readiness</w:t>
      </w:r>
    </w:p>
    <w:p w:rsidR="00A54DE2" w:rsidRDefault="00633EA7">
      <w:pPr>
        <w:spacing w:after="120"/>
      </w:pPr>
      <w:r>
        <w:rPr>
          <w:rFonts w:ascii="Calibri" w:eastAsia="Calibri" w:hAnsi="Calibri" w:cs="Calibri"/>
          <w:sz w:val="21"/>
          <w:szCs w:val="21"/>
        </w:rPr>
        <w:t>Two versions. Ship version A now. Switch to version B the day the AI Readiness Assessment goes live — not before, because the tool is still being built.</w:t>
      </w:r>
    </w:p>
    <w:p w:rsidR="00A54DE2" w:rsidRDefault="00A54DE2">
      <w:pPr>
        <w:spacing w:after="80"/>
      </w:pPr>
    </w:p>
    <w:p w:rsidR="00A54DE2" w:rsidRDefault="00633EA7">
      <w:pPr>
        <w:pStyle w:val="Heading2"/>
        <w:spacing w:before="300" w:after="140"/>
      </w:pPr>
      <w:r>
        <w:rPr>
          <w:rFonts w:ascii="Calibri" w:eastAsia="Calibri" w:hAnsi="Calibri" w:cs="Calibri"/>
          <w:b/>
          <w:bCs/>
          <w:color w:val="2E5AAC"/>
        </w:rPr>
        <w:t>Version A — until the assessment is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EYEBROW</w:t>
            </w:r>
          </w:p>
          <w:p w:rsidR="00A54DE2" w:rsidRDefault="00633EA7">
            <w:pPr>
              <w:spacing w:after="60"/>
            </w:pPr>
            <w:r>
              <w:rPr>
                <w:rFonts w:ascii="Calibri" w:eastAsia="Calibri" w:hAnsi="Calibri" w:cs="Calibri"/>
                <w:sz w:val="21"/>
                <w:szCs w:val="21"/>
              </w:rPr>
              <w:t>Data &amp; AI Readiness</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HEADING</w:t>
            </w:r>
          </w:p>
          <w:p w:rsidR="00A54DE2" w:rsidRDefault="00633EA7">
            <w:pPr>
              <w:spacing w:after="60"/>
            </w:pPr>
            <w:r>
              <w:rPr>
                <w:rFonts w:ascii="Calibri" w:eastAsia="Calibri" w:hAnsi="Calibri" w:cs="Calibri"/>
                <w:sz w:val="21"/>
                <w:szCs w:val="21"/>
              </w:rPr>
              <w:t xml:space="preserve">Is Your Data Ready for </w:t>
            </w:r>
            <w:r>
              <w:rPr>
                <w:rFonts w:ascii="Calibri" w:eastAsia="Calibri" w:hAnsi="Calibri" w:cs="Calibri"/>
                <w:sz w:val="21"/>
                <w:szCs w:val="21"/>
              </w:rPr>
              <w:t>AI?</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BODY</w:t>
            </w:r>
          </w:p>
          <w:p w:rsidR="00A54DE2" w:rsidRDefault="00633EA7">
            <w:pPr>
              <w:spacing w:after="60"/>
            </w:pPr>
            <w:r>
              <w:rPr>
                <w:rFonts w:ascii="Calibri" w:eastAsia="Calibri" w:hAnsi="Calibri" w:cs="Calibri"/>
                <w:sz w:val="21"/>
                <w:szCs w:val="21"/>
              </w:rPr>
              <w:t>Most AI initiatives stall on the data underneath them, not the model. In a 30-minute review, our data and AI leads look at where your data sits, what’s keeping it from supporting AI, and which use case to build first.</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CTA</w:t>
            </w:r>
          </w:p>
          <w:p w:rsidR="00A54DE2" w:rsidRDefault="00633EA7">
            <w:pPr>
              <w:spacing w:after="60"/>
            </w:pPr>
            <w:r>
              <w:rPr>
                <w:rFonts w:ascii="Calibri" w:eastAsia="Calibri" w:hAnsi="Calibri" w:cs="Calibri"/>
                <w:sz w:val="21"/>
                <w:szCs w:val="21"/>
              </w:rPr>
              <w:lastRenderedPageBreak/>
              <w:t>Book a Data &amp; AI Readiness Review →</w:t>
            </w:r>
          </w:p>
        </w:tc>
      </w:tr>
    </w:tbl>
    <w:p w:rsidR="00A54DE2" w:rsidRDefault="00A54DE2">
      <w:pPr>
        <w:spacing w:after="120"/>
      </w:pPr>
    </w:p>
    <w:p w:rsidR="00A54DE2" w:rsidRDefault="00633EA7">
      <w:pPr>
        <w:pStyle w:val="Heading2"/>
        <w:spacing w:before="300" w:after="140"/>
      </w:pPr>
      <w:r>
        <w:rPr>
          <w:rFonts w:ascii="Calibri" w:eastAsia="Calibri" w:hAnsi="Calibri" w:cs="Calibri"/>
          <w:b/>
          <w:bCs/>
          <w:color w:val="2E5AAC"/>
        </w:rPr>
        <w:t>Version B — once the assessment is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EYEBROW</w:t>
            </w:r>
          </w:p>
          <w:p w:rsidR="00A54DE2" w:rsidRDefault="00633EA7">
            <w:pPr>
              <w:spacing w:after="60"/>
            </w:pPr>
            <w:r>
              <w:rPr>
                <w:rFonts w:ascii="Calibri" w:eastAsia="Calibri" w:hAnsi="Calibri" w:cs="Calibri"/>
                <w:sz w:val="21"/>
                <w:szCs w:val="21"/>
              </w:rPr>
              <w:t>Data &amp; AI Readiness</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HEADING</w:t>
            </w:r>
          </w:p>
          <w:p w:rsidR="00A54DE2" w:rsidRDefault="00633EA7">
            <w:pPr>
              <w:spacing w:after="60"/>
            </w:pPr>
            <w:r>
              <w:rPr>
                <w:rFonts w:ascii="Calibri" w:eastAsia="Calibri" w:hAnsi="Calibri" w:cs="Calibri"/>
                <w:sz w:val="21"/>
                <w:szCs w:val="21"/>
              </w:rPr>
              <w:t>Is Your Data Ready for AI?</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BODY</w:t>
            </w:r>
          </w:p>
          <w:p w:rsidR="00A54DE2" w:rsidRDefault="00633EA7">
            <w:pPr>
              <w:spacing w:after="60"/>
            </w:pPr>
            <w:r>
              <w:rPr>
                <w:rFonts w:ascii="Calibri" w:eastAsia="Calibri" w:hAnsi="Calibri" w:cs="Calibri"/>
                <w:sz w:val="21"/>
                <w:szCs w:val="21"/>
              </w:rPr>
              <w:t>Most AI initiatives stall on the data underneath them, not the model. Answer a short set of questions and get two scores: how ready you are to build, and how safe you are to scale</w:t>
            </w:r>
            <w:r>
              <w:rPr>
                <w:rFonts w:ascii="Calibri" w:eastAsia="Calibri" w:hAnsi="Calibri" w:cs="Calibri"/>
                <w:sz w:val="21"/>
                <w:szCs w:val="21"/>
              </w:rPr>
              <w:t xml:space="preserve"> plus the blockers holding you back and where to start.</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CTA AND SECONDARY</w:t>
            </w:r>
            <w:r>
              <w:rPr>
                <w:rFonts w:ascii="Calibri" w:eastAsia="Calibri" w:hAnsi="Calibri" w:cs="Calibri"/>
                <w:b/>
                <w:bCs/>
                <w:color w:val="5A5A6E"/>
                <w:sz w:val="16"/>
                <w:szCs w:val="16"/>
              </w:rPr>
              <w:t xml:space="preserve"> LINE</w:t>
            </w:r>
          </w:p>
          <w:p w:rsidR="00A54DE2" w:rsidRDefault="00633EA7">
            <w:pPr>
              <w:spacing w:after="60"/>
            </w:pPr>
            <w:r>
              <w:rPr>
                <w:rFonts w:ascii="Calibri" w:eastAsia="Calibri" w:hAnsi="Calibri" w:cs="Calibri"/>
                <w:sz w:val="21"/>
                <w:szCs w:val="21"/>
              </w:rPr>
              <w:t>Get Your AI Readiness Score →</w:t>
            </w:r>
          </w:p>
          <w:p w:rsidR="00A54DE2" w:rsidRDefault="00633EA7">
            <w:pPr>
              <w:spacing w:after="60"/>
            </w:pPr>
            <w:r>
              <w:rPr>
                <w:rFonts w:ascii="Calibri" w:eastAsia="Calibri" w:hAnsi="Calibri" w:cs="Calibri"/>
                <w:sz w:val="21"/>
                <w:szCs w:val="21"/>
              </w:rPr>
              <w:t>Prefer to talk it through? Book a Data &amp; AI Readiness Review →</w:t>
            </w:r>
          </w:p>
        </w:tc>
      </w:tr>
    </w:tbl>
    <w:p w:rsidR="00A54DE2" w:rsidRDefault="00633EA7">
      <w:pPr>
        <w:spacing w:before="80" w:after="160"/>
      </w:pPr>
      <w:r>
        <w:rPr>
          <w:rFonts w:ascii="Calibri" w:eastAsia="Calibri" w:hAnsi="Calibri" w:cs="Calibri"/>
          <w:b/>
          <w:bCs/>
          <w:color w:val="5A5A6E"/>
          <w:sz w:val="19"/>
          <w:szCs w:val="19"/>
        </w:rPr>
        <w:t xml:space="preserve">Why this works. </w:t>
      </w:r>
      <w:r>
        <w:rPr>
          <w:rFonts w:ascii="Calibri" w:eastAsia="Calibri" w:hAnsi="Calibri" w:cs="Calibri"/>
          <w:i/>
          <w:iCs/>
          <w:color w:val="5A5A6E"/>
          <w:sz w:val="19"/>
          <w:szCs w:val="19"/>
        </w:rPr>
        <w:t xml:space="preserve">Version B describes the "Ready to Build, Safe to Scale" design already </w:t>
      </w:r>
      <w:proofErr w:type="spellStart"/>
      <w:r>
        <w:rPr>
          <w:rFonts w:ascii="Calibri" w:eastAsia="Calibri" w:hAnsi="Calibri" w:cs="Calibri"/>
          <w:i/>
          <w:iCs/>
          <w:color w:val="5A5A6E"/>
          <w:sz w:val="19"/>
          <w:szCs w:val="19"/>
        </w:rPr>
        <w:t>specced</w:t>
      </w:r>
      <w:proofErr w:type="spellEnd"/>
      <w:r>
        <w:rPr>
          <w:rFonts w:ascii="Calibri" w:eastAsia="Calibri" w:hAnsi="Calibri" w:cs="Calibri"/>
          <w:i/>
          <w:iCs/>
          <w:color w:val="5A5A6E"/>
          <w:sz w:val="19"/>
          <w:szCs w:val="19"/>
        </w:rPr>
        <w:t xml:space="preserve"> for the assessment. Its second score covers AI safety, so security stays in the story without leading the page with it.</w:t>
      </w:r>
    </w:p>
    <w:p w:rsidR="00A54DE2" w:rsidRDefault="00A54DE2">
      <w:pPr>
        <w:spacing w:after="80"/>
      </w:pPr>
    </w:p>
    <w:p w:rsidR="00A54DE2" w:rsidRDefault="00633EA7">
      <w:pPr>
        <w:pStyle w:val="Heading2"/>
        <w:spacing w:before="300" w:after="140"/>
      </w:pPr>
      <w:r>
        <w:rPr>
          <w:rFonts w:ascii="Calibri" w:eastAsia="Calibri" w:hAnsi="Calibri" w:cs="Calibri"/>
          <w:b/>
          <w:bCs/>
          <w:color w:val="2E5AAC"/>
        </w:rPr>
        <w:t>Where the AI Security assessment goes</w:t>
      </w:r>
    </w:p>
    <w:p w:rsidR="00A54DE2" w:rsidRDefault="00633EA7">
      <w:pPr>
        <w:pStyle w:val="ListParagraph"/>
        <w:numPr>
          <w:ilvl w:val="0"/>
          <w:numId w:val="2"/>
        </w:numPr>
        <w:spacing w:after="80"/>
      </w:pPr>
      <w:r>
        <w:rPr>
          <w:rFonts w:ascii="Calibri" w:eastAsia="Calibri" w:hAnsi="Calibri" w:cs="Calibri"/>
          <w:sz w:val="21"/>
          <w:szCs w:val="21"/>
        </w:rPr>
        <w:t xml:space="preserve">Feature it on the </w:t>
      </w:r>
      <w:proofErr w:type="spellStart"/>
      <w:r>
        <w:rPr>
          <w:rFonts w:ascii="Calibri" w:eastAsia="Calibri" w:hAnsi="Calibri" w:cs="Calibri"/>
          <w:sz w:val="21"/>
          <w:szCs w:val="21"/>
        </w:rPr>
        <w:t>xSecurity</w:t>
      </w:r>
      <w:proofErr w:type="spellEnd"/>
      <w:r>
        <w:rPr>
          <w:rFonts w:ascii="Calibri" w:eastAsia="Calibri" w:hAnsi="Calibri" w:cs="Calibri"/>
          <w:sz w:val="21"/>
          <w:szCs w:val="21"/>
        </w:rPr>
        <w:t xml:space="preserve"> landing page, /services/ai-security-service and /services/cyber-security-service.</w:t>
      </w:r>
    </w:p>
    <w:p w:rsidR="00A54DE2" w:rsidRDefault="00633EA7">
      <w:pPr>
        <w:pStyle w:val="ListParagraph"/>
        <w:numPr>
          <w:ilvl w:val="0"/>
          <w:numId w:val="2"/>
        </w:numPr>
        <w:spacing w:after="80"/>
      </w:pPr>
      <w:r>
        <w:rPr>
          <w:rFonts w:ascii="Calibri" w:eastAsia="Calibri" w:hAnsi="Calibri" w:cs="Calibri"/>
          <w:sz w:val="21"/>
          <w:szCs w:val="21"/>
        </w:rPr>
        <w:t>The AI Security pillar card in Section II already routes homepage visitors there.</w:t>
      </w:r>
    </w:p>
    <w:p w:rsidR="00A54DE2" w:rsidRDefault="00633EA7">
      <w:pPr>
        <w:spacing w:before="80" w:after="200"/>
      </w:pPr>
      <w:r>
        <w:rPr>
          <w:rFonts w:ascii="Calibri" w:eastAsia="Calibri" w:hAnsi="Calibri" w:cs="Calibri"/>
          <w:b/>
          <w:bCs/>
          <w:color w:val="B02A2A"/>
          <w:sz w:val="19"/>
          <w:szCs w:val="19"/>
        </w:rPr>
        <w:t xml:space="preserve">Before the heading moves with it: </w:t>
      </w:r>
      <w:r>
        <w:rPr>
          <w:rFonts w:ascii="Calibri" w:eastAsia="Calibri" w:hAnsi="Calibri" w:cs="Calibri"/>
          <w:color w:val="B02A2A"/>
          <w:sz w:val="19"/>
          <w:szCs w:val="19"/>
        </w:rPr>
        <w:t xml:space="preserve">"97% of Organizations Using </w:t>
      </w:r>
      <w:proofErr w:type="spellStart"/>
      <w:r>
        <w:rPr>
          <w:rFonts w:ascii="Calibri" w:eastAsia="Calibri" w:hAnsi="Calibri" w:cs="Calibri"/>
          <w:color w:val="B02A2A"/>
          <w:sz w:val="19"/>
          <w:szCs w:val="19"/>
        </w:rPr>
        <w:t>GenAI</w:t>
      </w:r>
      <w:proofErr w:type="spellEnd"/>
      <w:r>
        <w:rPr>
          <w:rFonts w:ascii="Calibri" w:eastAsia="Calibri" w:hAnsi="Calibri" w:cs="Calibri"/>
          <w:color w:val="B02A2A"/>
          <w:sz w:val="19"/>
          <w:szCs w:val="19"/>
        </w:rPr>
        <w:t xml:space="preserve"> Reported a Security Incident" has no source in the document. Trace it to its original publication and cite it on the page, or rewrite the heading without the number.</w:t>
      </w:r>
    </w:p>
    <w:p w:rsidR="00A54DE2" w:rsidRDefault="00633EA7">
      <w:r>
        <w:br w:type="page"/>
      </w:r>
    </w:p>
    <w:p w:rsidR="00A54DE2" w:rsidRDefault="00633EA7">
      <w:pPr>
        <w:pStyle w:val="Heading1"/>
        <w:spacing w:before="360" w:after="160"/>
      </w:pPr>
      <w:r>
        <w:rPr>
          <w:rFonts w:ascii="Calibri" w:eastAsia="Calibri" w:hAnsi="Calibri" w:cs="Calibri"/>
          <w:b/>
          <w:bCs/>
          <w:color w:val="1B1B3A"/>
        </w:rPr>
        <w:lastRenderedPageBreak/>
        <w:t>4. Case studies — the five largest engagements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EYEBROW</w:t>
            </w:r>
          </w:p>
          <w:p w:rsidR="00A54DE2" w:rsidRDefault="00633EA7">
            <w:pPr>
              <w:spacing w:after="60"/>
            </w:pPr>
            <w:r>
              <w:rPr>
                <w:rFonts w:ascii="Calibri" w:eastAsia="Calibri" w:hAnsi="Calibri" w:cs="Calibri"/>
                <w:sz w:val="21"/>
                <w:szCs w:val="21"/>
              </w:rPr>
              <w:t>Case Studies</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HEADING</w:t>
            </w:r>
          </w:p>
          <w:p w:rsidR="00A54DE2" w:rsidRDefault="00633EA7">
            <w:pPr>
              <w:spacing w:after="60"/>
            </w:pPr>
            <w:r>
              <w:rPr>
                <w:rFonts w:ascii="Calibri" w:eastAsia="Calibri" w:hAnsi="Calibri" w:cs="Calibri"/>
                <w:sz w:val="21"/>
                <w:szCs w:val="21"/>
              </w:rPr>
              <w:t>Selected Client Work</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BODY</w:t>
            </w:r>
          </w:p>
          <w:p w:rsidR="00A54DE2" w:rsidRDefault="00633EA7">
            <w:pPr>
              <w:spacing w:after="60"/>
            </w:pPr>
            <w:r>
              <w:rPr>
                <w:rFonts w:ascii="Calibri" w:eastAsia="Calibri" w:hAnsi="Calibri" w:cs="Calibri"/>
                <w:sz w:val="21"/>
                <w:szCs w:val="21"/>
              </w:rPr>
              <w:t>A selection of our largest data, cloud and AI engagements.</w:t>
            </w:r>
          </w:p>
        </w:tc>
      </w:tr>
    </w:tbl>
    <w:p w:rsidR="00A54DE2" w:rsidRDefault="00633EA7">
      <w:pPr>
        <w:spacing w:before="80" w:after="160"/>
      </w:pPr>
      <w:r>
        <w:rPr>
          <w:rFonts w:ascii="Calibri" w:eastAsia="Calibri" w:hAnsi="Calibri" w:cs="Calibri"/>
          <w:b/>
          <w:bCs/>
          <w:color w:val="5A5A6E"/>
          <w:sz w:val="19"/>
          <w:szCs w:val="19"/>
        </w:rPr>
        <w:t xml:space="preserve">Why the heading changed. </w:t>
      </w:r>
      <w:r>
        <w:rPr>
          <w:rFonts w:ascii="Calibri" w:eastAsia="Calibri" w:hAnsi="Calibri" w:cs="Calibri"/>
          <w:i/>
          <w:iCs/>
          <w:color w:val="5A5A6E"/>
          <w:sz w:val="19"/>
          <w:szCs w:val="19"/>
        </w:rPr>
        <w:t>"AI in Production" no longer fits: the Majid Al Futtaim engagement was a migration discovery and plan, and the Pick n Pay and immunization work are data and platform programs. "Hard metrics" is also dropped — most of this work has no approved metric, and i</w:t>
      </w:r>
      <w:r>
        <w:rPr>
          <w:rFonts w:ascii="Calibri" w:eastAsia="Calibri" w:hAnsi="Calibri" w:cs="Calibri"/>
          <w:i/>
          <w:iCs/>
          <w:color w:val="5A5A6E"/>
          <w:sz w:val="19"/>
          <w:szCs w:val="19"/>
        </w:rPr>
        <w:t>nventing one is exactly what the review is fixing.</w:t>
      </w:r>
    </w:p>
    <w:p w:rsidR="00A54DE2" w:rsidRDefault="00A54D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500"/>
        <w:gridCol w:w="1700"/>
        <w:gridCol w:w="2100"/>
        <w:gridCol w:w="3660"/>
      </w:tblGrid>
      <w:tr w:rsidR="00A54DE2">
        <w:tblPrEx>
          <w:tblCellMar>
            <w:top w:w="0" w:type="dxa"/>
            <w:bottom w:w="0" w:type="dxa"/>
          </w:tblCellMar>
        </w:tblPrEx>
        <w:trPr>
          <w:tblHeader/>
        </w:trPr>
        <w:tc>
          <w:tcPr>
            <w:tcW w:w="4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w:t>
            </w:r>
          </w:p>
        </w:tc>
        <w:tc>
          <w:tcPr>
            <w:tcW w:w="15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Client</w:t>
            </w:r>
          </w:p>
        </w:tc>
        <w:tc>
          <w:tcPr>
            <w:tcW w:w="17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Tag</w:t>
            </w:r>
          </w:p>
        </w:tc>
        <w:tc>
          <w:tcPr>
            <w:tcW w:w="21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Card title</w:t>
            </w:r>
          </w:p>
        </w:tc>
        <w:tc>
          <w:tcPr>
            <w:tcW w:w="366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Card body</w:t>
            </w:r>
          </w:p>
        </w:tc>
      </w:tr>
      <w:tr w:rsidR="00A54DE2">
        <w:tblPrEx>
          <w:tblCellMar>
            <w:top w:w="0" w:type="dxa"/>
            <w:bottom w:w="0" w:type="dxa"/>
          </w:tblCellMar>
        </w:tblPrEx>
        <w:tc>
          <w:tcPr>
            <w:tcW w:w="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1</w:t>
            </w:r>
          </w:p>
        </w:tc>
        <w:tc>
          <w:tcPr>
            <w:tcW w:w="15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Majid Al Futtaim</w:t>
            </w:r>
          </w:p>
        </w:tc>
        <w:tc>
          <w:tcPr>
            <w:tcW w:w="1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Retail &amp; real estate · Cloud migration strategy</w:t>
            </w:r>
          </w:p>
        </w:tc>
        <w:tc>
          <w:tcPr>
            <w:tcW w:w="21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Planning an AWS-to-Azure migration across a full application and data estate</w:t>
            </w:r>
          </w:p>
        </w:tc>
        <w:tc>
          <w:tcPr>
            <w:tcW w:w="3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Mapped every application, workload and data dependency, including the Vertica data platform, and assessed migration feasibility for each. Built a total-cost-of-ownership model and sequenced the move into migration waves to control disruption. Delivered joi</w:t>
            </w:r>
            <w:r>
              <w:rPr>
                <w:rFonts w:ascii="Calibri" w:eastAsia="Calibri" w:hAnsi="Calibri" w:cs="Calibri"/>
                <w:sz w:val="19"/>
                <w:szCs w:val="19"/>
              </w:rPr>
              <w:t>ntly with Microsoft.</w:t>
            </w:r>
          </w:p>
        </w:tc>
      </w:tr>
      <w:tr w:rsidR="00A54DE2">
        <w:tblPrEx>
          <w:tblCellMar>
            <w:top w:w="0" w:type="dxa"/>
            <w:bottom w:w="0" w:type="dxa"/>
          </w:tblCellMar>
        </w:tblPrEx>
        <w:tc>
          <w:tcPr>
            <w:tcW w:w="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2</w:t>
            </w:r>
          </w:p>
        </w:tc>
        <w:tc>
          <w:tcPr>
            <w:tcW w:w="15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Pick n Pay</w:t>
            </w:r>
          </w:p>
        </w:tc>
        <w:tc>
          <w:tcPr>
            <w:tcW w:w="17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Retail · Data platform</w:t>
            </w:r>
          </w:p>
        </w:tc>
        <w:tc>
          <w:tcPr>
            <w:tcW w:w="21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One source of truth for reporting, analytics and AI</w:t>
            </w:r>
          </w:p>
        </w:tc>
        <w:tc>
          <w:tcPr>
            <w:tcW w:w="36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Brought data from SAP ERP, SAP BW and application databases into a single Snowflake source of truth, so reporting, data analysis, data science models and AI use cases all run from the same trusted data.</w:t>
            </w:r>
          </w:p>
        </w:tc>
      </w:tr>
      <w:tr w:rsidR="00A54DE2">
        <w:tblPrEx>
          <w:tblCellMar>
            <w:top w:w="0" w:type="dxa"/>
            <w:bottom w:w="0" w:type="dxa"/>
          </w:tblCellMar>
        </w:tblPrEx>
        <w:tc>
          <w:tcPr>
            <w:tcW w:w="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3</w:t>
            </w:r>
          </w:p>
        </w:tc>
        <w:tc>
          <w:tcPr>
            <w:tcW w:w="15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SS&amp;C</w:t>
            </w:r>
          </w:p>
        </w:tc>
        <w:tc>
          <w:tcPr>
            <w:tcW w:w="1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Financial services · Legacy modernization</w:t>
            </w:r>
          </w:p>
        </w:tc>
        <w:tc>
          <w:tcPr>
            <w:tcW w:w="21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COBOL to Java with AI-assisted engineering</w:t>
            </w:r>
          </w:p>
        </w:tc>
        <w:tc>
          <w:tcPr>
            <w:tcW w:w="3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Modernized legacy RPG applications, migrated COBOL code to Java using AI-assisted engineering, and moved the applications and data to private cloud with minimal operational disruption.</w:t>
            </w:r>
          </w:p>
        </w:tc>
      </w:tr>
      <w:tr w:rsidR="00A54DE2">
        <w:tblPrEx>
          <w:tblCellMar>
            <w:top w:w="0" w:type="dxa"/>
            <w:bottom w:w="0" w:type="dxa"/>
          </w:tblCellMar>
        </w:tblPrEx>
        <w:tc>
          <w:tcPr>
            <w:tcW w:w="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4</w:t>
            </w:r>
          </w:p>
        </w:tc>
        <w:tc>
          <w:tcPr>
            <w:tcW w:w="15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One of Pakistan’s leading NGOs</w:t>
            </w:r>
          </w:p>
        </w:tc>
        <w:tc>
          <w:tcPr>
            <w:tcW w:w="17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Healthcare · Platform engineering</w:t>
            </w:r>
          </w:p>
        </w:tc>
        <w:tc>
          <w:tcPr>
            <w:tcW w:w="21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A national immunization platform at billion-record scale</w:t>
            </w:r>
          </w:p>
        </w:tc>
        <w:tc>
          <w:tcPr>
            <w:tcW w:w="36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Scaled and modernized a national digital immunization platform — including a move from Java 8 to a modern Java release — that manages </w:t>
            </w:r>
            <w:r>
              <w:rPr>
                <w:rFonts w:ascii="Calibri" w:eastAsia="Calibri" w:hAnsi="Calibri" w:cs="Calibri"/>
                <w:sz w:val="19"/>
                <w:szCs w:val="19"/>
              </w:rPr>
              <w:t>over a billion immunization records for 4,000+ frontline health workers, many in areas with little or no connectivity.</w:t>
            </w:r>
          </w:p>
        </w:tc>
      </w:tr>
      <w:tr w:rsidR="00A54DE2">
        <w:tblPrEx>
          <w:tblCellMar>
            <w:top w:w="0" w:type="dxa"/>
            <w:bottom w:w="0" w:type="dxa"/>
          </w:tblCellMar>
        </w:tblPrEx>
        <w:tc>
          <w:tcPr>
            <w:tcW w:w="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5</w:t>
            </w:r>
          </w:p>
        </w:tc>
        <w:tc>
          <w:tcPr>
            <w:tcW w:w="15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Alfalah Investments</w:t>
            </w:r>
          </w:p>
        </w:tc>
        <w:tc>
          <w:tcPr>
            <w:tcW w:w="1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Asset management · Generative AI</w:t>
            </w:r>
          </w:p>
        </w:tc>
        <w:tc>
          <w:tcPr>
            <w:tcW w:w="21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An LLM assistant for investment research</w:t>
            </w:r>
          </w:p>
        </w:tc>
        <w:tc>
          <w:tcPr>
            <w:tcW w:w="3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Built an LLM-powered investment assistant that reads 40+ page fund reports, profiles risk in natural language and suggests </w:t>
            </w:r>
            <w:r>
              <w:rPr>
                <w:rFonts w:ascii="Calibri" w:eastAsia="Calibri" w:hAnsi="Calibri" w:cs="Calibri"/>
                <w:sz w:val="19"/>
                <w:szCs w:val="19"/>
              </w:rPr>
              <w:lastRenderedPageBreak/>
              <w:t>suitable funds, available to investors around the clock.</w:t>
            </w:r>
          </w:p>
        </w:tc>
      </w:tr>
    </w:tbl>
    <w:p w:rsidR="00A54DE2" w:rsidRDefault="00A54DE2">
      <w:pPr>
        <w:spacing w:after="100"/>
      </w:pPr>
    </w:p>
    <w:p w:rsidR="00A54DE2" w:rsidRDefault="00633EA7">
      <w:pPr>
        <w:pStyle w:val="Heading3"/>
        <w:spacing w:before="220" w:after="100"/>
      </w:pPr>
      <w:r>
        <w:rPr>
          <w:rFonts w:ascii="Calibri" w:eastAsia="Calibri" w:hAnsi="Calibri" w:cs="Calibri"/>
          <w:b/>
          <w:bCs/>
          <w:color w:val="1B1B3A"/>
          <w:sz w:val="22"/>
          <w:szCs w:val="22"/>
        </w:rPr>
        <w:t>Notes per card</w:t>
      </w:r>
    </w:p>
    <w:p w:rsidR="00A54DE2" w:rsidRDefault="00633EA7">
      <w:pPr>
        <w:pStyle w:val="ListParagraph"/>
        <w:numPr>
          <w:ilvl w:val="0"/>
          <w:numId w:val="2"/>
        </w:numPr>
        <w:spacing w:after="80"/>
      </w:pPr>
      <w:r>
        <w:rPr>
          <w:rFonts w:ascii="Calibri" w:eastAsia="Calibri" w:hAnsi="Calibri" w:cs="Calibri"/>
          <w:sz w:val="21"/>
          <w:szCs w:val="21"/>
        </w:rPr>
        <w:t>Majid Al Futtaim: NAMING NEEDS SIGN-OFF — see §8. Until then use: "A leading Middle East retail and real estate group". Describe it as a plan, never as a completed migration: the engagement was discovery and planning.</w:t>
      </w:r>
    </w:p>
    <w:p w:rsidR="00A54DE2" w:rsidRDefault="00633EA7">
      <w:pPr>
        <w:pStyle w:val="ListParagraph"/>
        <w:numPr>
          <w:ilvl w:val="0"/>
          <w:numId w:val="2"/>
        </w:numPr>
        <w:spacing w:after="80"/>
      </w:pPr>
      <w:r>
        <w:rPr>
          <w:rFonts w:ascii="Calibri" w:eastAsia="Calibri" w:hAnsi="Calibri" w:cs="Calibri"/>
          <w:sz w:val="21"/>
          <w:szCs w:val="21"/>
        </w:rPr>
        <w:t>Pick n Pay: Named: Pick n Pay is on th</w:t>
      </w:r>
      <w:r>
        <w:rPr>
          <w:rFonts w:ascii="Calibri" w:eastAsia="Calibri" w:hAnsi="Calibri" w:cs="Calibri"/>
          <w:sz w:val="21"/>
          <w:szCs w:val="21"/>
        </w:rPr>
        <w:t>e public logo wall. Never "real-time" — the CTO confirmed it is not.</w:t>
      </w:r>
    </w:p>
    <w:p w:rsidR="00A54DE2" w:rsidRDefault="00633EA7">
      <w:pPr>
        <w:pStyle w:val="ListParagraph"/>
        <w:numPr>
          <w:ilvl w:val="0"/>
          <w:numId w:val="2"/>
        </w:numPr>
        <w:spacing w:after="80"/>
      </w:pPr>
      <w:r>
        <w:rPr>
          <w:rFonts w:ascii="Calibri" w:eastAsia="Calibri" w:hAnsi="Calibri" w:cs="Calibri"/>
          <w:sz w:val="21"/>
          <w:szCs w:val="21"/>
        </w:rPr>
        <w:t>SS&amp;C: Named: "SSC" is on the public logo wall — confirm it is SS&amp;C Technologies before launch (§8).</w:t>
      </w:r>
    </w:p>
    <w:p w:rsidR="00A54DE2" w:rsidRDefault="00633EA7">
      <w:pPr>
        <w:pStyle w:val="ListParagraph"/>
        <w:numPr>
          <w:ilvl w:val="0"/>
          <w:numId w:val="2"/>
        </w:numPr>
        <w:spacing w:after="80"/>
      </w:pPr>
      <w:r>
        <w:rPr>
          <w:rFonts w:ascii="Calibri" w:eastAsia="Calibri" w:hAnsi="Calibri" w:cs="Calibri"/>
          <w:sz w:val="21"/>
          <w:szCs w:val="21"/>
        </w:rPr>
        <w:t>One of Pakistan’s leading NGOs: Anonymized. Do not name the client or mention WHO; neit</w:t>
      </w:r>
      <w:r>
        <w:rPr>
          <w:rFonts w:ascii="Calibri" w:eastAsia="Calibri" w:hAnsi="Calibri" w:cs="Calibri"/>
          <w:sz w:val="21"/>
          <w:szCs w:val="21"/>
        </w:rPr>
        <w:t>her is approved. Do not use "real-time analytics" from older deck copy.</w:t>
      </w:r>
    </w:p>
    <w:p w:rsidR="00A54DE2" w:rsidRDefault="00633EA7">
      <w:pPr>
        <w:pStyle w:val="ListParagraph"/>
        <w:numPr>
          <w:ilvl w:val="0"/>
          <w:numId w:val="2"/>
        </w:numPr>
        <w:spacing w:after="80"/>
      </w:pPr>
      <w:r>
        <w:rPr>
          <w:rFonts w:ascii="Calibri" w:eastAsia="Calibri" w:hAnsi="Calibri" w:cs="Calibri"/>
          <w:sz w:val="21"/>
          <w:szCs w:val="21"/>
        </w:rPr>
        <w:t>Alfalah Investments: Named: Alfalah Investments has a live portfolio page. This is the page’s generative AI in production case.</w:t>
      </w:r>
    </w:p>
    <w:p w:rsidR="00A54DE2" w:rsidRDefault="00A54DE2">
      <w:pPr>
        <w:spacing w:after="80"/>
      </w:pPr>
    </w:p>
    <w:p w:rsidR="00A54DE2" w:rsidRDefault="00633EA7">
      <w:pPr>
        <w:spacing w:before="80" w:after="160"/>
      </w:pPr>
      <w:r>
        <w:rPr>
          <w:rFonts w:ascii="Calibri" w:eastAsia="Calibri" w:hAnsi="Calibri" w:cs="Calibri"/>
          <w:b/>
          <w:bCs/>
          <w:color w:val="5A5A6E"/>
          <w:sz w:val="19"/>
          <w:szCs w:val="19"/>
        </w:rPr>
        <w:t xml:space="preserve">Why these five. </w:t>
      </w:r>
      <w:r>
        <w:rPr>
          <w:rFonts w:ascii="Calibri" w:eastAsia="Calibri" w:hAnsi="Calibri" w:cs="Calibri"/>
          <w:i/>
          <w:iCs/>
          <w:color w:val="5A5A6E"/>
          <w:sz w:val="19"/>
          <w:szCs w:val="19"/>
        </w:rPr>
        <w:t>They are the largest engagements in the</w:t>
      </w:r>
      <w:r>
        <w:rPr>
          <w:rFonts w:ascii="Calibri" w:eastAsia="Calibri" w:hAnsi="Calibri" w:cs="Calibri"/>
          <w:i/>
          <w:iCs/>
          <w:color w:val="5A5A6E"/>
          <w:sz w:val="19"/>
          <w:szCs w:val="19"/>
        </w:rPr>
        <w:t xml:space="preserve"> files, cover every pillar on the page (cloud, data, legacy modernization with AI, platform scale, generative AI), and each can be published without an unsourced number. Two are recognizable names already on the logo wall, one more is a named portfolio cli</w:t>
      </w:r>
      <w:r>
        <w:rPr>
          <w:rFonts w:ascii="Calibri" w:eastAsia="Calibri" w:hAnsi="Calibri" w:cs="Calibri"/>
          <w:i/>
          <w:iCs/>
          <w:color w:val="5A5A6E"/>
          <w:sz w:val="19"/>
          <w:szCs w:val="19"/>
        </w:rPr>
        <w:t>ent.</w:t>
      </w:r>
    </w:p>
    <w:p w:rsidR="00A54DE2" w:rsidRDefault="00633EA7">
      <w:pPr>
        <w:spacing w:before="80" w:after="160"/>
      </w:pPr>
      <w:r>
        <w:rPr>
          <w:rFonts w:ascii="Calibri" w:eastAsia="Calibri" w:hAnsi="Calibri" w:cs="Calibri"/>
          <w:b/>
          <w:bCs/>
          <w:color w:val="5A5A6E"/>
          <w:sz w:val="19"/>
          <w:szCs w:val="19"/>
        </w:rPr>
        <w:t xml:space="preserve">Alternates if a slot opens. </w:t>
      </w:r>
      <w:r>
        <w:rPr>
          <w:rFonts w:ascii="Calibri" w:eastAsia="Calibri" w:hAnsi="Calibri" w:cs="Calibri"/>
          <w:i/>
          <w:iCs/>
          <w:color w:val="5A5A6E"/>
          <w:sz w:val="19"/>
          <w:szCs w:val="19"/>
        </w:rPr>
        <w:t>RAG-based video search for a Canadian healthcare platform (generative AI, anonymized) · the ABHI cross-border platform at 10,000+ users and 99.9% uptime (needs ABHI’s OK for a written case study).</w:t>
      </w:r>
    </w:p>
    <w:p w:rsidR="00A54DE2" w:rsidRDefault="00633EA7">
      <w:pPr>
        <w:spacing w:before="80" w:after="200"/>
      </w:pPr>
      <w:r>
        <w:rPr>
          <w:rFonts w:ascii="Calibri" w:eastAsia="Calibri" w:hAnsi="Calibri" w:cs="Calibri"/>
          <w:b/>
          <w:bCs/>
          <w:color w:val="B02A2A"/>
          <w:sz w:val="19"/>
          <w:szCs w:val="19"/>
        </w:rPr>
        <w:t xml:space="preserve">Remove from the homepage: </w:t>
      </w:r>
      <w:r>
        <w:rPr>
          <w:rFonts w:ascii="Calibri" w:eastAsia="Calibri" w:hAnsi="Calibri" w:cs="Calibri"/>
          <w:color w:val="B02A2A"/>
          <w:sz w:val="19"/>
          <w:szCs w:val="19"/>
        </w:rPr>
        <w:t>the four current case boxes and their metrics — 99.7% detection rate, $50M recalls prevented, 40% visitor engagement, 60% query volume, 80% search-time reduction, 45% faster order processing, 78% fewer order errors. None has a source, and several contradic</w:t>
      </w:r>
      <w:r>
        <w:rPr>
          <w:rFonts w:ascii="Calibri" w:eastAsia="Calibri" w:hAnsi="Calibri" w:cs="Calibri"/>
          <w:color w:val="B02A2A"/>
          <w:sz w:val="19"/>
          <w:szCs w:val="19"/>
        </w:rPr>
        <w:t>t each other.</w:t>
      </w:r>
    </w:p>
    <w:p w:rsidR="00A54DE2" w:rsidRDefault="00633EA7">
      <w:pPr>
        <w:pStyle w:val="Heading2"/>
        <w:spacing w:before="300" w:after="140"/>
      </w:pPr>
      <w:r>
        <w:rPr>
          <w:rFonts w:ascii="Calibri" w:eastAsia="Calibri" w:hAnsi="Calibri" w:cs="Calibri"/>
          <w:b/>
          <w:bCs/>
          <w:color w:val="2E5AAC"/>
        </w:rPr>
        <w:t>Testimonials — unchanged</w:t>
      </w:r>
    </w:p>
    <w:p w:rsidR="00A54DE2" w:rsidRDefault="00633EA7">
      <w:pPr>
        <w:spacing w:after="120"/>
      </w:pPr>
      <w:r>
        <w:rPr>
          <w:rFonts w:ascii="Calibri" w:eastAsia="Calibri" w:hAnsi="Calibri" w:cs="Calibri"/>
          <w:sz w:val="21"/>
          <w:szCs w:val="21"/>
        </w:rPr>
        <w:t>Keep the five current testimonials (</w:t>
      </w:r>
      <w:proofErr w:type="spellStart"/>
      <w:r>
        <w:rPr>
          <w:rFonts w:ascii="Calibri" w:eastAsia="Calibri" w:hAnsi="Calibri" w:cs="Calibri"/>
          <w:sz w:val="21"/>
          <w:szCs w:val="21"/>
        </w:rPr>
        <w:t>Beythak</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Skillforte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FitLynk</w:t>
      </w:r>
      <w:proofErr w:type="spellEnd"/>
      <w:r>
        <w:rPr>
          <w:rFonts w:ascii="Calibri" w:eastAsia="Calibri" w:hAnsi="Calibri" w:cs="Calibri"/>
          <w:sz w:val="21"/>
          <w:szCs w:val="21"/>
        </w:rPr>
        <w:t xml:space="preserve">, Cloud Titans, </w:t>
      </w:r>
      <w:proofErr w:type="spellStart"/>
      <w:r>
        <w:rPr>
          <w:rFonts w:ascii="Calibri" w:eastAsia="Calibri" w:hAnsi="Calibri" w:cs="Calibri"/>
          <w:sz w:val="21"/>
          <w:szCs w:val="21"/>
        </w:rPr>
        <w:t>Serefin</w:t>
      </w:r>
      <w:proofErr w:type="spellEnd"/>
      <w:r>
        <w:rPr>
          <w:rFonts w:ascii="Calibri" w:eastAsia="Calibri" w:hAnsi="Calibri" w:cs="Calibri"/>
          <w:sz w:val="21"/>
          <w:szCs w:val="21"/>
        </w:rPr>
        <w:t>). All are signed and approved. Quote them exactly as written in the signed testimonials document.</w:t>
      </w:r>
    </w:p>
    <w:p w:rsidR="00A54DE2" w:rsidRDefault="00633EA7">
      <w:r>
        <w:br w:type="page"/>
      </w:r>
    </w:p>
    <w:p w:rsidR="00A54DE2" w:rsidRDefault="00633EA7">
      <w:pPr>
        <w:pStyle w:val="Heading1"/>
        <w:spacing w:before="360" w:after="160"/>
      </w:pPr>
      <w:r>
        <w:rPr>
          <w:rFonts w:ascii="Calibri" w:eastAsia="Calibri" w:hAnsi="Calibri" w:cs="Calibri"/>
          <w:b/>
          <w:bCs/>
          <w:color w:val="1B1B3A"/>
        </w:rPr>
        <w:lastRenderedPageBreak/>
        <w:t>5. Industries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HEADLINE</w:t>
            </w:r>
          </w:p>
          <w:p w:rsidR="00A54DE2" w:rsidRDefault="00633EA7">
            <w:pPr>
              <w:spacing w:after="60"/>
            </w:pPr>
            <w:r>
              <w:rPr>
                <w:rFonts w:ascii="Calibri" w:eastAsia="Calibri" w:hAnsi="Calibri" w:cs="Calibri"/>
                <w:sz w:val="21"/>
                <w:szCs w:val="21"/>
              </w:rPr>
              <w:t>Indust</w:t>
            </w:r>
            <w:r>
              <w:rPr>
                <w:rFonts w:ascii="Calibri" w:eastAsia="Calibri" w:hAnsi="Calibri" w:cs="Calibri"/>
                <w:sz w:val="21"/>
                <w:szCs w:val="21"/>
              </w:rPr>
              <w:t>ries We Work In</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BODY</w:t>
            </w:r>
          </w:p>
          <w:p w:rsidR="00A54DE2" w:rsidRDefault="00633EA7">
            <w:pPr>
              <w:spacing w:after="60"/>
            </w:pPr>
            <w:r>
              <w:rPr>
                <w:rFonts w:ascii="Calibri" w:eastAsia="Calibri" w:hAnsi="Calibri" w:cs="Calibri"/>
                <w:sz w:val="21"/>
                <w:szCs w:val="21"/>
              </w:rPr>
              <w:t>Each links to the data, cloud and AI work we’ve delivered in that sector.</w:t>
            </w:r>
          </w:p>
        </w:tc>
      </w:tr>
    </w:tbl>
    <w:p w:rsidR="00A54DE2" w:rsidRDefault="00633EA7">
      <w:pPr>
        <w:spacing w:before="80" w:after="160"/>
      </w:pPr>
      <w:r>
        <w:rPr>
          <w:rFonts w:ascii="Calibri" w:eastAsia="Calibri" w:hAnsi="Calibri" w:cs="Calibri"/>
          <w:b/>
          <w:bCs/>
          <w:color w:val="5A5A6E"/>
          <w:sz w:val="19"/>
          <w:szCs w:val="19"/>
        </w:rPr>
        <w:t xml:space="preserve">Why the copy changed. </w:t>
      </w:r>
      <w:r>
        <w:rPr>
          <w:rFonts w:ascii="Calibri" w:eastAsia="Calibri" w:hAnsi="Calibri" w:cs="Calibri"/>
          <w:i/>
          <w:iCs/>
          <w:color w:val="5A5A6E"/>
          <w:sz w:val="19"/>
          <w:szCs w:val="19"/>
        </w:rPr>
        <w:t>"Built for your industry" and "tailored to how your industry operates" promise industry-specific products. The CTO’s direction is to show real work instead, and "tailored" is on the brand’s jargon list.</w:t>
      </w:r>
    </w:p>
    <w:p w:rsidR="00A54DE2" w:rsidRDefault="00A54DE2">
      <w:pPr>
        <w:spacing w:after="80"/>
      </w:pPr>
    </w:p>
    <w:p w:rsidR="00A54DE2" w:rsidRDefault="00633EA7">
      <w:pPr>
        <w:spacing w:after="120"/>
      </w:pPr>
      <w:r>
        <w:rPr>
          <w:rFonts w:ascii="Calibri" w:eastAsia="Calibri" w:hAnsi="Calibri" w:cs="Calibri"/>
          <w:sz w:val="21"/>
          <w:szCs w:val="21"/>
        </w:rPr>
        <w:t>Each tile shows the industry name and one line of re</w:t>
      </w:r>
      <w:r>
        <w:rPr>
          <w:rFonts w:ascii="Calibri" w:eastAsia="Calibri" w:hAnsi="Calibri" w:cs="Calibri"/>
          <w:sz w:val="21"/>
          <w:szCs w:val="21"/>
        </w:rPr>
        <w:t>al work. Tiles link to the industry pages.</w:t>
      </w:r>
    </w:p>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00"/>
        <w:gridCol w:w="2060"/>
      </w:tblGrid>
      <w:tr w:rsidR="00A54DE2">
        <w:tblPrEx>
          <w:tblCellMar>
            <w:top w:w="0" w:type="dxa"/>
            <w:bottom w:w="0" w:type="dxa"/>
          </w:tblCellMar>
        </w:tblPrEx>
        <w:trPr>
          <w:tblHeader/>
        </w:trPr>
        <w:tc>
          <w:tcPr>
            <w:tcW w:w="24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Industry tile</w:t>
            </w:r>
          </w:p>
        </w:tc>
        <w:tc>
          <w:tcPr>
            <w:tcW w:w="49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Proof line on the tile</w:t>
            </w:r>
          </w:p>
        </w:tc>
        <w:tc>
          <w:tcPr>
            <w:tcW w:w="206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Status</w:t>
            </w:r>
          </w:p>
        </w:tc>
      </w:tr>
      <w:tr w:rsidR="00A54DE2">
        <w:tblPrEx>
          <w:tblCellMar>
            <w:top w:w="0" w:type="dxa"/>
            <w:bottom w:w="0" w:type="dxa"/>
          </w:tblCellMar>
        </w:tblPrEx>
        <w:tc>
          <w:tcPr>
            <w:tcW w:w="2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Banking &amp; Financial Services</w:t>
            </w:r>
          </w:p>
        </w:tc>
        <w:tc>
          <w:tcPr>
            <w:tcW w:w="49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COBOL to Java with AI for SS&amp;C · an LLM investment assistant for Alfalah Investments</w:t>
            </w:r>
          </w:p>
        </w:tc>
        <w:tc>
          <w:tcPr>
            <w:tcW w:w="20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Ready</w:t>
            </w:r>
          </w:p>
        </w:tc>
      </w:tr>
      <w:tr w:rsidR="00A54DE2">
        <w:tblPrEx>
          <w:tblCellMar>
            <w:top w:w="0" w:type="dxa"/>
            <w:bottom w:w="0" w:type="dxa"/>
          </w:tblCellMar>
        </w:tblPrEx>
        <w:tc>
          <w:tcPr>
            <w:tcW w:w="2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Retail &amp; eCommerce</w:t>
            </w:r>
          </w:p>
        </w:tc>
        <w:tc>
          <w:tcPr>
            <w:tcW w:w="49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One source of truth for Pick n Pay · an AWS-to-Azure migration plan for a Middle East retail group</w:t>
            </w:r>
          </w:p>
        </w:tc>
        <w:tc>
          <w:tcPr>
            <w:tcW w:w="20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Ready — uses the anonymized MAF wording until naming is approved</w:t>
            </w:r>
          </w:p>
        </w:tc>
      </w:tr>
      <w:tr w:rsidR="00A54DE2">
        <w:tblPrEx>
          <w:tblCellMar>
            <w:top w:w="0" w:type="dxa"/>
            <w:bottom w:w="0" w:type="dxa"/>
          </w:tblCellMar>
        </w:tblPrEx>
        <w:tc>
          <w:tcPr>
            <w:tcW w:w="2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Healthcare</w:t>
            </w:r>
          </w:p>
        </w:tc>
        <w:tc>
          <w:tcPr>
            <w:tcW w:w="49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A national immunization platform managing over a billion records</w:t>
            </w:r>
          </w:p>
        </w:tc>
        <w:tc>
          <w:tcPr>
            <w:tcW w:w="20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Ready</w:t>
            </w:r>
          </w:p>
        </w:tc>
      </w:tr>
      <w:tr w:rsidR="00A54DE2">
        <w:tblPrEx>
          <w:tblCellMar>
            <w:top w:w="0" w:type="dxa"/>
            <w:bottom w:w="0" w:type="dxa"/>
          </w:tblCellMar>
        </w:tblPrEx>
        <w:tc>
          <w:tcPr>
            <w:tcW w:w="2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Energy &amp; Utilities</w:t>
            </w:r>
          </w:p>
        </w:tc>
        <w:tc>
          <w:tcPr>
            <w:tcW w:w="49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Dependable operational data for a water utility</w:t>
            </w:r>
          </w:p>
        </w:tc>
        <w:tc>
          <w:tcPr>
            <w:tcW w:w="20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Ready</w:t>
            </w:r>
          </w:p>
        </w:tc>
      </w:tr>
      <w:tr w:rsidR="00A54DE2">
        <w:tblPrEx>
          <w:tblCellMar>
            <w:top w:w="0" w:type="dxa"/>
            <w:bottom w:w="0" w:type="dxa"/>
          </w:tblCellMar>
        </w:tblPrEx>
        <w:tc>
          <w:tcPr>
            <w:tcW w:w="2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Transport &amp; Logistics</w:t>
            </w:r>
          </w:p>
        </w:tc>
        <w:tc>
          <w:tcPr>
            <w:tcW w:w="49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A cloud-native operations platform for a container depot</w:t>
            </w:r>
          </w:p>
        </w:tc>
        <w:tc>
          <w:tcPr>
            <w:tcW w:w="20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Ready</w:t>
            </w:r>
          </w:p>
        </w:tc>
      </w:tr>
      <w:tr w:rsidR="00A54DE2">
        <w:tblPrEx>
          <w:tblCellMar>
            <w:top w:w="0" w:type="dxa"/>
            <w:bottom w:w="0" w:type="dxa"/>
          </w:tblCellMar>
        </w:tblPrEx>
        <w:tc>
          <w:tcPr>
            <w:tcW w:w="2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Mining</w:t>
            </w:r>
          </w:p>
        </w:tc>
        <w:tc>
          <w:tcPr>
            <w:tcW w:w="49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[Harmony Gold — one line on what </w:t>
            </w:r>
            <w:proofErr w:type="spellStart"/>
            <w:r>
              <w:rPr>
                <w:rFonts w:ascii="Calibri" w:eastAsia="Calibri" w:hAnsi="Calibri" w:cs="Calibri"/>
                <w:sz w:val="19"/>
                <w:szCs w:val="19"/>
              </w:rPr>
              <w:t>xLoop</w:t>
            </w:r>
            <w:proofErr w:type="spellEnd"/>
            <w:r>
              <w:rPr>
                <w:rFonts w:ascii="Calibri" w:eastAsia="Calibri" w:hAnsi="Calibri" w:cs="Calibri"/>
                <w:sz w:val="19"/>
                <w:szCs w:val="19"/>
              </w:rPr>
              <w:t xml:space="preserve"> delivered]</w:t>
            </w:r>
          </w:p>
        </w:tc>
        <w:tc>
          <w:tcPr>
            <w:tcW w:w="20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Waiting on details — §8</w:t>
            </w:r>
          </w:p>
        </w:tc>
      </w:tr>
    </w:tbl>
    <w:p w:rsidR="00A54DE2" w:rsidRDefault="00A54DE2">
      <w:pPr>
        <w:spacing w:after="100"/>
      </w:pPr>
    </w:p>
    <w:p w:rsidR="00A54DE2" w:rsidRDefault="00633EA7">
      <w:pPr>
        <w:pStyle w:val="Heading2"/>
        <w:spacing w:before="300" w:after="140"/>
      </w:pPr>
      <w:r>
        <w:rPr>
          <w:rFonts w:ascii="Calibri" w:eastAsia="Calibri" w:hAnsi="Calibri" w:cs="Calibri"/>
          <w:b/>
          <w:bCs/>
          <w:color w:val="2E5AAC"/>
        </w:rPr>
        <w:t>Industries to remove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4160"/>
      </w:tblGrid>
      <w:tr w:rsidR="00A54DE2">
        <w:tblPrEx>
          <w:tblCellMar>
            <w:top w:w="0" w:type="dxa"/>
            <w:bottom w:w="0" w:type="dxa"/>
          </w:tblCellMar>
        </w:tblPrEx>
        <w:trPr>
          <w:tblHeader/>
        </w:trPr>
        <w:tc>
          <w:tcPr>
            <w:tcW w:w="19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Industry</w:t>
            </w:r>
          </w:p>
        </w:tc>
        <w:tc>
          <w:tcPr>
            <w:tcW w:w="33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Recommendation</w:t>
            </w:r>
          </w:p>
        </w:tc>
        <w:tc>
          <w:tcPr>
            <w:tcW w:w="416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Why</w:t>
            </w:r>
          </w:p>
        </w:tc>
      </w:tr>
      <w:tr w:rsidR="00A54DE2">
        <w:tblPrEx>
          <w:tblCellMar>
            <w:top w:w="0" w:type="dxa"/>
            <w:bottom w:w="0" w:type="dxa"/>
          </w:tblCellMar>
        </w:tblPrEx>
        <w:tc>
          <w:tcPr>
            <w:tcW w:w="19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Manufacturing</w:t>
            </w:r>
          </w:p>
        </w:tc>
        <w:tc>
          <w:tcPr>
            <w:tcW w:w="33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Replace with Mining</w:t>
            </w:r>
          </w:p>
        </w:tc>
        <w:tc>
          <w:tcPr>
            <w:tcW w:w="41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CTO: no manufacturing clients</w:t>
            </w:r>
          </w:p>
        </w:tc>
      </w:tr>
      <w:tr w:rsidR="00A54DE2">
        <w:tblPrEx>
          <w:tblCellMar>
            <w:top w:w="0" w:type="dxa"/>
            <w:bottom w:w="0" w:type="dxa"/>
          </w:tblCellMar>
        </w:tblPrEx>
        <w:tc>
          <w:tcPr>
            <w:tcW w:w="19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Smart Cities</w:t>
            </w:r>
          </w:p>
        </w:tc>
        <w:tc>
          <w:tcPr>
            <w:tcW w:w="33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Remove; 301 the page to the industries index</w:t>
            </w:r>
          </w:p>
        </w:tc>
        <w:tc>
          <w:tcPr>
            <w:tcW w:w="41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No delivered work found. </w:t>
            </w:r>
            <w:proofErr w:type="spellStart"/>
            <w:r>
              <w:rPr>
                <w:rFonts w:ascii="Calibri" w:eastAsia="Calibri" w:hAnsi="Calibri" w:cs="Calibri"/>
                <w:sz w:val="19"/>
                <w:szCs w:val="19"/>
              </w:rPr>
              <w:t>xCrowdIQ</w:t>
            </w:r>
            <w:proofErr w:type="spellEnd"/>
            <w:r>
              <w:rPr>
                <w:rFonts w:ascii="Calibri" w:eastAsia="Calibri" w:hAnsi="Calibri" w:cs="Calibri"/>
                <w:sz w:val="19"/>
                <w:szCs w:val="19"/>
              </w:rPr>
              <w:t xml:space="preserve"> is still experimental</w:t>
            </w:r>
          </w:p>
        </w:tc>
      </w:tr>
      <w:tr w:rsidR="00A54DE2">
        <w:tblPrEx>
          <w:tblCellMar>
            <w:top w:w="0" w:type="dxa"/>
            <w:bottom w:w="0" w:type="dxa"/>
          </w:tblCellMar>
        </w:tblPrEx>
        <w:tc>
          <w:tcPr>
            <w:tcW w:w="19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Telco/ICT</w:t>
            </w:r>
          </w:p>
        </w:tc>
        <w:tc>
          <w:tcPr>
            <w:tcW w:w="33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Remove; 301 the page to the industries index</w:t>
            </w:r>
          </w:p>
        </w:tc>
        <w:tc>
          <w:tcPr>
            <w:tcW w:w="41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No delivered work found — only a blog post on the sector</w:t>
            </w:r>
          </w:p>
        </w:tc>
      </w:tr>
      <w:tr w:rsidR="00A54DE2">
        <w:tblPrEx>
          <w:tblCellMar>
            <w:top w:w="0" w:type="dxa"/>
            <w:bottom w:w="0" w:type="dxa"/>
          </w:tblCellMar>
        </w:tblPrEx>
        <w:tc>
          <w:tcPr>
            <w:tcW w:w="19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EdTech</w:t>
            </w:r>
          </w:p>
        </w:tc>
        <w:tc>
          <w:tcPr>
            <w:tcW w:w="33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Remove unless you can point to a delivered project</w:t>
            </w:r>
          </w:p>
        </w:tc>
        <w:tc>
          <w:tcPr>
            <w:tcW w:w="4160" w:type="dxa"/>
            <w:shd w:val="clear" w:color="auto" w:fill="F4F6FB"/>
            <w:tcMar>
              <w:top w:w="80" w:type="dxa"/>
              <w:left w:w="110" w:type="dxa"/>
              <w:bottom w:w="80" w:type="dxa"/>
              <w:right w:w="110" w:type="dxa"/>
            </w:tcMar>
          </w:tcPr>
          <w:p w:rsidR="00A54DE2" w:rsidRDefault="00633EA7">
            <w:pPr>
              <w:spacing w:after="40"/>
            </w:pPr>
            <w:proofErr w:type="spellStart"/>
            <w:r>
              <w:rPr>
                <w:rFonts w:ascii="Calibri" w:eastAsia="Calibri" w:hAnsi="Calibri" w:cs="Calibri"/>
                <w:sz w:val="19"/>
                <w:szCs w:val="19"/>
              </w:rPr>
              <w:t>Skillforte</w:t>
            </w:r>
            <w:proofErr w:type="spellEnd"/>
            <w:r>
              <w:rPr>
                <w:rFonts w:ascii="Calibri" w:eastAsia="Calibri" w:hAnsi="Calibri" w:cs="Calibri"/>
                <w:sz w:val="19"/>
                <w:szCs w:val="19"/>
              </w:rPr>
              <w:t xml:space="preserve"> and </w:t>
            </w:r>
            <w:proofErr w:type="spellStart"/>
            <w:r>
              <w:rPr>
                <w:rFonts w:ascii="Calibri" w:eastAsia="Calibri" w:hAnsi="Calibri" w:cs="Calibri"/>
                <w:sz w:val="19"/>
                <w:szCs w:val="19"/>
              </w:rPr>
              <w:t>Gnyan</w:t>
            </w:r>
            <w:proofErr w:type="spellEnd"/>
            <w:r>
              <w:rPr>
                <w:rFonts w:ascii="Calibri" w:eastAsia="Calibri" w:hAnsi="Calibri" w:cs="Calibri"/>
                <w:sz w:val="19"/>
                <w:szCs w:val="19"/>
              </w:rPr>
              <w:t xml:space="preserve"> appear on the logo wall, but no EdTech case study exists in the files</w:t>
            </w:r>
          </w:p>
        </w:tc>
      </w:tr>
    </w:tbl>
    <w:p w:rsidR="00A54DE2" w:rsidRDefault="00633EA7">
      <w:pPr>
        <w:spacing w:before="80" w:after="160"/>
      </w:pPr>
      <w:r>
        <w:rPr>
          <w:rFonts w:ascii="Calibri" w:eastAsia="Calibri" w:hAnsi="Calibri" w:cs="Calibri"/>
          <w:b/>
          <w:bCs/>
          <w:color w:val="5A5A6E"/>
          <w:sz w:val="19"/>
          <w:szCs w:val="19"/>
        </w:rPr>
        <w:lastRenderedPageBreak/>
        <w:t xml:space="preserve">Result. </w:t>
      </w:r>
      <w:r>
        <w:rPr>
          <w:rFonts w:ascii="Calibri" w:eastAsia="Calibri" w:hAnsi="Calibri" w:cs="Calibri"/>
          <w:i/>
          <w:iCs/>
          <w:color w:val="5A5A6E"/>
          <w:sz w:val="19"/>
          <w:szCs w:val="19"/>
        </w:rPr>
        <w:t>Nine tiles become six, each backed by real work — the same test the CTO applied to Manufacturing, applied to all nine.</w:t>
      </w:r>
    </w:p>
    <w:p w:rsidR="00A54DE2" w:rsidRDefault="00633EA7">
      <w:r>
        <w:br w:type="page"/>
      </w:r>
    </w:p>
    <w:p w:rsidR="00A54DE2" w:rsidRDefault="00633EA7">
      <w:pPr>
        <w:pStyle w:val="Heading1"/>
        <w:spacing w:before="360" w:after="160"/>
      </w:pPr>
      <w:r>
        <w:rPr>
          <w:rFonts w:ascii="Calibri" w:eastAsia="Calibri" w:hAnsi="Calibri" w:cs="Calibri"/>
          <w:b/>
          <w:bCs/>
          <w:color w:val="1B1B3A"/>
        </w:rPr>
        <w:lastRenderedPageBreak/>
        <w:t>6. Closing CTA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HEADLINE</w:t>
            </w:r>
          </w:p>
          <w:p w:rsidR="00A54DE2" w:rsidRDefault="00633EA7">
            <w:pPr>
              <w:spacing w:after="60"/>
            </w:pPr>
            <w:r>
              <w:rPr>
                <w:rFonts w:ascii="Calibri" w:eastAsia="Calibri" w:hAnsi="Calibri" w:cs="Calibri"/>
                <w:sz w:val="21"/>
                <w:szCs w:val="21"/>
              </w:rPr>
              <w:t>Talk to Our Data and AI Leads</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BODY</w:t>
            </w:r>
          </w:p>
          <w:p w:rsidR="00A54DE2" w:rsidRDefault="00633EA7">
            <w:pPr>
              <w:spacing w:after="60"/>
            </w:pPr>
            <w:r>
              <w:rPr>
                <w:rFonts w:ascii="Calibri" w:eastAsia="Calibri" w:hAnsi="Calibri" w:cs="Calibri"/>
                <w:sz w:val="21"/>
                <w:szCs w:val="21"/>
              </w:rPr>
              <w:t>In 30 minutes, we’ll look at where your data sits, what’s keeping it from supporting AI, and the first use case worth building. You’ll leave with a clear next step, whether or not it involves us.</w:t>
            </w:r>
          </w:p>
        </w:tc>
      </w:tr>
    </w:tbl>
    <w:p w:rsidR="00A54DE2" w:rsidRDefault="00A54D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4DE2">
        <w:tblPrEx>
          <w:tblCellMar>
            <w:top w:w="0" w:type="dxa"/>
            <w:bottom w:w="0" w:type="dxa"/>
          </w:tblCellMar>
        </w:tblPrEx>
        <w:tc>
          <w:tcPr>
            <w:tcW w:w="9360" w:type="dxa"/>
            <w:tcBorders>
              <w:top w:val="single" w:sz="2" w:space="0" w:color="D8DEEE"/>
              <w:left w:val="single" w:sz="18" w:space="0" w:color="2E5AAC"/>
              <w:bottom w:val="single" w:sz="2" w:space="0" w:color="D8DEEE"/>
              <w:right w:val="single" w:sz="2" w:space="0" w:color="D8DEEE"/>
            </w:tcBorders>
            <w:shd w:val="clear" w:color="auto" w:fill="F4F6FB"/>
            <w:tcMar>
              <w:top w:w="120" w:type="dxa"/>
              <w:left w:w="160" w:type="dxa"/>
              <w:bottom w:w="120" w:type="dxa"/>
              <w:right w:w="160" w:type="dxa"/>
            </w:tcMar>
          </w:tcPr>
          <w:p w:rsidR="00A54DE2" w:rsidRDefault="00633EA7">
            <w:pPr>
              <w:spacing w:before="60" w:after="40"/>
            </w:pPr>
            <w:r>
              <w:rPr>
                <w:rFonts w:ascii="Calibri" w:eastAsia="Calibri" w:hAnsi="Calibri" w:cs="Calibri"/>
                <w:b/>
                <w:bCs/>
                <w:color w:val="5A5A6E"/>
                <w:sz w:val="16"/>
                <w:szCs w:val="16"/>
              </w:rPr>
              <w:t>CTA</w:t>
            </w:r>
          </w:p>
          <w:p w:rsidR="00A54DE2" w:rsidRDefault="00633EA7">
            <w:pPr>
              <w:spacing w:after="60"/>
            </w:pPr>
            <w:r>
              <w:rPr>
                <w:rFonts w:ascii="Calibri" w:eastAsia="Calibri" w:hAnsi="Calibri" w:cs="Calibri"/>
                <w:sz w:val="21"/>
                <w:szCs w:val="21"/>
              </w:rPr>
              <w:t>Book a Data &amp; AI Readiness Review →</w:t>
            </w:r>
          </w:p>
        </w:tc>
      </w:tr>
    </w:tbl>
    <w:p w:rsidR="00A54DE2" w:rsidRDefault="00A54DE2">
      <w:pPr>
        <w:spacing w:after="80"/>
      </w:pPr>
    </w:p>
    <w:p w:rsidR="00A54DE2" w:rsidRDefault="00633EA7">
      <w:pPr>
        <w:spacing w:before="80" w:after="160"/>
      </w:pPr>
      <w:r>
        <w:rPr>
          <w:rFonts w:ascii="Calibri" w:eastAsia="Calibri" w:hAnsi="Calibri" w:cs="Calibri"/>
          <w:b/>
          <w:bCs/>
          <w:color w:val="5A5A6E"/>
          <w:sz w:val="19"/>
          <w:szCs w:val="19"/>
        </w:rPr>
        <w:t>Alternative head</w:t>
      </w:r>
      <w:r>
        <w:rPr>
          <w:rFonts w:ascii="Calibri" w:eastAsia="Calibri" w:hAnsi="Calibri" w:cs="Calibri"/>
          <w:b/>
          <w:bCs/>
          <w:color w:val="5A5A6E"/>
          <w:sz w:val="19"/>
          <w:szCs w:val="19"/>
        </w:rPr>
        <w:t xml:space="preserve">line. </w:t>
      </w:r>
      <w:r>
        <w:rPr>
          <w:rFonts w:ascii="Calibri" w:eastAsia="Calibri" w:hAnsi="Calibri" w:cs="Calibri"/>
          <w:i/>
          <w:iCs/>
          <w:color w:val="5A5A6E"/>
          <w:sz w:val="19"/>
          <w:szCs w:val="19"/>
        </w:rPr>
        <w:t xml:space="preserve">"Start </w:t>
      </w:r>
      <w:proofErr w:type="gramStart"/>
      <w:r>
        <w:rPr>
          <w:rFonts w:ascii="Calibri" w:eastAsia="Calibri" w:hAnsi="Calibri" w:cs="Calibri"/>
          <w:i/>
          <w:iCs/>
          <w:color w:val="5A5A6E"/>
          <w:sz w:val="19"/>
          <w:szCs w:val="19"/>
        </w:rPr>
        <w:t>With</w:t>
      </w:r>
      <w:proofErr w:type="gramEnd"/>
      <w:r>
        <w:rPr>
          <w:rFonts w:ascii="Calibri" w:eastAsia="Calibri" w:hAnsi="Calibri" w:cs="Calibri"/>
          <w:i/>
          <w:iCs/>
          <w:color w:val="5A5A6E"/>
          <w:sz w:val="19"/>
          <w:szCs w:val="19"/>
        </w:rPr>
        <w:t xml:space="preserve"> a Conversation About Your Data" — same body and CTA.</w:t>
      </w:r>
    </w:p>
    <w:p w:rsidR="00A54DE2" w:rsidRDefault="00633EA7">
      <w:pPr>
        <w:spacing w:before="80" w:after="160"/>
      </w:pPr>
      <w:r>
        <w:rPr>
          <w:rFonts w:ascii="Calibri" w:eastAsia="Calibri" w:hAnsi="Calibri" w:cs="Calibri"/>
          <w:b/>
          <w:bCs/>
          <w:color w:val="5A5A6E"/>
          <w:sz w:val="19"/>
          <w:szCs w:val="19"/>
        </w:rPr>
        <w:t xml:space="preserve">Why this version. </w:t>
      </w:r>
      <w:r>
        <w:rPr>
          <w:rFonts w:ascii="Calibri" w:eastAsia="Calibri" w:hAnsi="Calibri" w:cs="Calibri"/>
          <w:i/>
          <w:iCs/>
          <w:color w:val="5A5A6E"/>
          <w:sz w:val="19"/>
          <w:szCs w:val="19"/>
        </w:rPr>
        <w:t>It names data and AI, describes exactly what happens in the call, and makes no comparison with other firms. "Whether or not it involves us" signals confidence and resp</w:t>
      </w:r>
      <w:r>
        <w:rPr>
          <w:rFonts w:ascii="Calibri" w:eastAsia="Calibri" w:hAnsi="Calibri" w:cs="Calibri"/>
          <w:i/>
          <w:iCs/>
          <w:color w:val="5A5A6E"/>
          <w:sz w:val="19"/>
          <w:szCs w:val="19"/>
        </w:rPr>
        <w:t>ect for the buyer’s time — the opposite of the old line.</w:t>
      </w:r>
    </w:p>
    <w:p w:rsidR="00A54DE2" w:rsidRDefault="00633EA7">
      <w:pPr>
        <w:spacing w:before="80" w:after="160"/>
      </w:pPr>
      <w:r>
        <w:rPr>
          <w:rFonts w:ascii="Calibri" w:eastAsia="Calibri" w:hAnsi="Calibri" w:cs="Calibri"/>
          <w:b/>
          <w:bCs/>
          <w:color w:val="5A5A6E"/>
          <w:sz w:val="19"/>
          <w:szCs w:val="19"/>
        </w:rPr>
        <w:t xml:space="preserve">One offer, not two. </w:t>
      </w:r>
      <w:r>
        <w:rPr>
          <w:rFonts w:ascii="Calibri" w:eastAsia="Calibri" w:hAnsi="Calibri" w:cs="Calibri"/>
          <w:i/>
          <w:iCs/>
          <w:color w:val="5A5A6E"/>
          <w:sz w:val="19"/>
          <w:szCs w:val="19"/>
        </w:rPr>
        <w:t>The closing band and Section III version A book the same 30-minute review. Use one booking link and one name for it, so a visitor never has to choose between two similar calls.</w:t>
      </w:r>
    </w:p>
    <w:p w:rsidR="00A54DE2" w:rsidRDefault="00633EA7">
      <w:r>
        <w:br w:type="page"/>
      </w:r>
    </w:p>
    <w:p w:rsidR="00A54DE2" w:rsidRDefault="00633EA7">
      <w:pPr>
        <w:pStyle w:val="Heading1"/>
        <w:spacing w:before="360" w:after="160"/>
      </w:pPr>
      <w:r>
        <w:rPr>
          <w:rFonts w:ascii="Calibri" w:eastAsia="Calibri" w:hAnsi="Calibri" w:cs="Calibri"/>
          <w:b/>
          <w:bCs/>
          <w:color w:val="1B1B3A"/>
        </w:rPr>
        <w:lastRenderedPageBreak/>
        <w:t>7. Corrections elsewhere on the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860"/>
      </w:tblGrid>
      <w:tr w:rsidR="00A54DE2">
        <w:tblPrEx>
          <w:tblCellMar>
            <w:top w:w="0" w:type="dxa"/>
            <w:bottom w:w="0" w:type="dxa"/>
          </w:tblCellMar>
        </w:tblPrEx>
        <w:trPr>
          <w:tblHeader/>
        </w:trPr>
        <w:tc>
          <w:tcPr>
            <w:tcW w:w="26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Where</w:t>
            </w:r>
          </w:p>
        </w:tc>
        <w:tc>
          <w:tcPr>
            <w:tcW w:w="39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Issue</w:t>
            </w:r>
          </w:p>
        </w:tc>
        <w:tc>
          <w:tcPr>
            <w:tcW w:w="286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Fix</w:t>
            </w:r>
          </w:p>
        </w:tc>
      </w:tr>
      <w:tr w:rsidR="00A54DE2">
        <w:tblPrEx>
          <w:tblCellMar>
            <w:top w:w="0" w:type="dxa"/>
            <w:bottom w:w="0" w:type="dxa"/>
          </w:tblCellMar>
        </w:tblPrEx>
        <w:tc>
          <w:tcPr>
            <w:tcW w:w="26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Section II · Applied AI Solutions roll-up, and the nav</w:t>
            </w:r>
          </w:p>
        </w:tc>
        <w:tc>
          <w:tcPr>
            <w:tcW w:w="39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Lists Digital Twin. The claims list blocks Digital Twin — no delivery evidence found</w:t>
            </w:r>
          </w:p>
        </w:tc>
        <w:tc>
          <w:tcPr>
            <w:tcW w:w="28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Remove Digital Twin until a delivered project exists</w:t>
            </w:r>
          </w:p>
        </w:tc>
      </w:tr>
      <w:tr w:rsidR="00A54DE2">
        <w:tblPrEx>
          <w:tblCellMar>
            <w:top w:w="0" w:type="dxa"/>
            <w:bottom w:w="0" w:type="dxa"/>
          </w:tblCellMar>
        </w:tblPrEx>
        <w:tc>
          <w:tcPr>
            <w:tcW w:w="26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Section II · Digital Transformation roll-up, and the nav</w:t>
            </w:r>
          </w:p>
        </w:tc>
        <w:tc>
          <w:tcPr>
            <w:tcW w:w="39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Missing Digital Engineering, which was agreed as a child of this cluster. Also "Web &amp; App </w:t>
            </w:r>
            <w:proofErr w:type="spellStart"/>
            <w:r>
              <w:rPr>
                <w:rFonts w:ascii="Calibri" w:eastAsia="Calibri" w:hAnsi="Calibri" w:cs="Calibri"/>
                <w:sz w:val="19"/>
                <w:szCs w:val="19"/>
              </w:rPr>
              <w:t>DevelopmentData</w:t>
            </w:r>
            <w:proofErr w:type="spellEnd"/>
            <w:r>
              <w:rPr>
                <w:rFonts w:ascii="Calibri" w:eastAsia="Calibri" w:hAnsi="Calibri" w:cs="Calibri"/>
                <w:sz w:val="19"/>
                <w:szCs w:val="19"/>
              </w:rPr>
              <w:t xml:space="preserve"> Analytics" is missing a separator</w:t>
            </w:r>
          </w:p>
        </w:tc>
        <w:tc>
          <w:tcPr>
            <w:tcW w:w="28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Add Digital Engineering; fix the separator</w:t>
            </w:r>
          </w:p>
        </w:tc>
      </w:tr>
      <w:tr w:rsidR="00A54DE2">
        <w:tblPrEx>
          <w:tblCellMar>
            <w:top w:w="0" w:type="dxa"/>
            <w:bottom w:w="0" w:type="dxa"/>
          </w:tblCellMar>
        </w:tblPrEx>
        <w:tc>
          <w:tcPr>
            <w:tcW w:w="26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Footer · Insights</w:t>
            </w:r>
          </w:p>
        </w:tc>
        <w:tc>
          <w:tcPr>
            <w:tcW w:w="39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Links to /gen-ai-readiness-assessment, which is not live</w:t>
            </w:r>
          </w:p>
        </w:tc>
        <w:tc>
          <w:tcPr>
            <w:tcW w:w="28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Hide the link until the tool ships. Use one name for it everywhere — the footer says "Gen AI Readiness Assessment", Section III says "AI Readiness"</w:t>
            </w:r>
          </w:p>
        </w:tc>
      </w:tr>
      <w:tr w:rsidR="00A54DE2">
        <w:tblPrEx>
          <w:tblCellMar>
            <w:top w:w="0" w:type="dxa"/>
            <w:bottom w:w="0" w:type="dxa"/>
          </w:tblCellMar>
        </w:tblPrEx>
        <w:tc>
          <w:tcPr>
            <w:tcW w:w="26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Footer · locations</w:t>
            </w:r>
          </w:p>
        </w:tc>
        <w:tc>
          <w:tcPr>
            <w:tcW w:w="39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The document asks about pages for South Africa and Hungary. </w:t>
            </w:r>
            <w:proofErr w:type="spellStart"/>
            <w:r>
              <w:rPr>
                <w:rFonts w:ascii="Calibri" w:eastAsia="Calibri" w:hAnsi="Calibri" w:cs="Calibri"/>
                <w:sz w:val="19"/>
                <w:szCs w:val="19"/>
              </w:rPr>
              <w:t>xLoop’s</w:t>
            </w:r>
            <w:proofErr w:type="spellEnd"/>
            <w:r>
              <w:rPr>
                <w:rFonts w:ascii="Calibri" w:eastAsia="Calibri" w:hAnsi="Calibri" w:cs="Calibri"/>
                <w:sz w:val="19"/>
                <w:szCs w:val="19"/>
              </w:rPr>
              <w:t xml:space="preserve"> offices are Karachi, San Mateo, Dubai and Doha; Hungary is a presence and partnerships, not an office</w:t>
            </w:r>
          </w:p>
        </w:tc>
        <w:tc>
          <w:tcPr>
            <w:tcW w:w="28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Fine to build "serving clients in South Africa / Europe" pages. Don’t list them as off</w:t>
            </w:r>
            <w:r>
              <w:rPr>
                <w:rFonts w:ascii="Calibri" w:eastAsia="Calibri" w:hAnsi="Calibri" w:cs="Calibri"/>
                <w:sz w:val="19"/>
                <w:szCs w:val="19"/>
              </w:rPr>
              <w:t>ice locations or give them addresses</w:t>
            </w:r>
          </w:p>
        </w:tc>
      </w:tr>
    </w:tbl>
    <w:p w:rsidR="00A54DE2" w:rsidRDefault="00633EA7">
      <w:r>
        <w:br w:type="page"/>
      </w:r>
    </w:p>
    <w:p w:rsidR="00A54DE2" w:rsidRDefault="00633EA7">
      <w:pPr>
        <w:pStyle w:val="Heading1"/>
        <w:spacing w:before="360" w:after="160"/>
      </w:pPr>
      <w:r>
        <w:rPr>
          <w:rFonts w:ascii="Calibri" w:eastAsia="Calibri" w:hAnsi="Calibri" w:cs="Calibri"/>
          <w:b/>
          <w:bCs/>
          <w:color w:val="1B1B3A"/>
        </w:rPr>
        <w:lastRenderedPageBreak/>
        <w:t>8. Decisions needed before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700"/>
        <w:gridCol w:w="3600"/>
        <w:gridCol w:w="2660"/>
      </w:tblGrid>
      <w:tr w:rsidR="00A54DE2">
        <w:tblPrEx>
          <w:tblCellMar>
            <w:top w:w="0" w:type="dxa"/>
            <w:bottom w:w="0" w:type="dxa"/>
          </w:tblCellMar>
        </w:tblPrEx>
        <w:trPr>
          <w:tblHeader/>
        </w:trPr>
        <w:tc>
          <w:tcPr>
            <w:tcW w:w="4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w:t>
            </w:r>
          </w:p>
        </w:tc>
        <w:tc>
          <w:tcPr>
            <w:tcW w:w="27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Decision</w:t>
            </w:r>
          </w:p>
        </w:tc>
        <w:tc>
          <w:tcPr>
            <w:tcW w:w="360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Why it matters</w:t>
            </w:r>
          </w:p>
        </w:tc>
        <w:tc>
          <w:tcPr>
            <w:tcW w:w="2660" w:type="dxa"/>
            <w:shd w:val="clear" w:color="auto" w:fill="1B1B3A"/>
            <w:tcMar>
              <w:top w:w="80" w:type="dxa"/>
              <w:left w:w="110" w:type="dxa"/>
              <w:bottom w:w="80" w:type="dxa"/>
              <w:right w:w="110" w:type="dxa"/>
            </w:tcMar>
          </w:tcPr>
          <w:p w:rsidR="00A54DE2" w:rsidRDefault="00633EA7">
            <w:r>
              <w:rPr>
                <w:rFonts w:ascii="Calibri" w:eastAsia="Calibri" w:hAnsi="Calibri" w:cs="Calibri"/>
                <w:b/>
                <w:bCs/>
                <w:color w:val="FFFFFF"/>
                <w:sz w:val="19"/>
                <w:szCs w:val="19"/>
              </w:rPr>
              <w:t>Default if not answered</w:t>
            </w:r>
          </w:p>
        </w:tc>
      </w:tr>
      <w:tr w:rsidR="00A54DE2">
        <w:tblPrEx>
          <w:tblCellMar>
            <w:top w:w="0" w:type="dxa"/>
            <w:bottom w:w="0" w:type="dxa"/>
          </w:tblCellMar>
        </w:tblPrEx>
        <w:tc>
          <w:tcPr>
            <w:tcW w:w="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1</w:t>
            </w:r>
          </w:p>
        </w:tc>
        <w:tc>
          <w:tcPr>
            <w:tcW w:w="2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Has Majid Al Futtaim approved being named on the website?</w:t>
            </w:r>
          </w:p>
        </w:tc>
        <w:tc>
          <w:tcPr>
            <w:tcW w:w="36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On 15 September MAF was recorded as internal-only. The CTO now wants it featured. Naming a client without permission is the one error on this page that can’t be quietly fixed later</w:t>
            </w:r>
          </w:p>
        </w:tc>
        <w:tc>
          <w:tcPr>
            <w:tcW w:w="2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Publish as "A leading Middle East retail and real estate group"</w:t>
            </w:r>
          </w:p>
        </w:tc>
      </w:tr>
      <w:tr w:rsidR="00A54DE2">
        <w:tblPrEx>
          <w:tblCellMar>
            <w:top w:w="0" w:type="dxa"/>
            <w:bottom w:w="0" w:type="dxa"/>
          </w:tblCellMar>
        </w:tblPrEx>
        <w:tc>
          <w:tcPr>
            <w:tcW w:w="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2</w:t>
            </w:r>
          </w:p>
        </w:tc>
        <w:tc>
          <w:tcPr>
            <w:tcW w:w="27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 xml:space="preserve">What did </w:t>
            </w:r>
            <w:proofErr w:type="spellStart"/>
            <w:r>
              <w:rPr>
                <w:rFonts w:ascii="Calibri" w:eastAsia="Calibri" w:hAnsi="Calibri" w:cs="Calibri"/>
                <w:sz w:val="19"/>
                <w:szCs w:val="19"/>
              </w:rPr>
              <w:t>xLoop</w:t>
            </w:r>
            <w:proofErr w:type="spellEnd"/>
            <w:r>
              <w:rPr>
                <w:rFonts w:ascii="Calibri" w:eastAsia="Calibri" w:hAnsi="Calibri" w:cs="Calibri"/>
                <w:sz w:val="19"/>
                <w:szCs w:val="19"/>
              </w:rPr>
              <w:t xml:space="preserve"> deliver for Harmony Gold, and can they be named?</w:t>
            </w:r>
          </w:p>
        </w:tc>
        <w:tc>
          <w:tcPr>
            <w:tcW w:w="36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The Mining tile needs one line of real work. Harmony Gold does not appear in any file, deck or on the logo wall</w:t>
            </w:r>
          </w:p>
        </w:tc>
        <w:tc>
          <w:tcPr>
            <w:tcW w:w="26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Launch with five industry tiles and add Mining when details arrive</w:t>
            </w:r>
          </w:p>
        </w:tc>
      </w:tr>
      <w:tr w:rsidR="00A54DE2">
        <w:tblPrEx>
          <w:tblCellMar>
            <w:top w:w="0" w:type="dxa"/>
            <w:bottom w:w="0" w:type="dxa"/>
          </w:tblCellMar>
        </w:tblPrEx>
        <w:tc>
          <w:tcPr>
            <w:tcW w:w="4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3</w:t>
            </w:r>
          </w:p>
        </w:tc>
        <w:tc>
          <w:tcPr>
            <w:tcW w:w="27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Is "SSC" on the logo wall SS&amp;C Technologies?</w:t>
            </w:r>
          </w:p>
        </w:tc>
        <w:tc>
          <w:tcPr>
            <w:tcW w:w="360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The SS&amp;C case card is named on the strength of that logo</w:t>
            </w:r>
          </w:p>
        </w:tc>
        <w:tc>
          <w:tcPr>
            <w:tcW w:w="2660" w:type="dxa"/>
            <w:shd w:val="clear" w:color="auto" w:fill="FFFFFF"/>
            <w:tcMar>
              <w:top w:w="80" w:type="dxa"/>
              <w:left w:w="110" w:type="dxa"/>
              <w:bottom w:w="80" w:type="dxa"/>
              <w:right w:w="110" w:type="dxa"/>
            </w:tcMar>
          </w:tcPr>
          <w:p w:rsidR="00A54DE2" w:rsidRDefault="00633EA7">
            <w:pPr>
              <w:spacing w:after="40"/>
            </w:pPr>
            <w:r>
              <w:rPr>
                <w:rFonts w:ascii="Calibri" w:eastAsia="Calibri" w:hAnsi="Calibri" w:cs="Calibri"/>
                <w:sz w:val="19"/>
                <w:szCs w:val="19"/>
              </w:rPr>
              <w:t>Publish the card as "A global financial services technology firm"</w:t>
            </w:r>
          </w:p>
        </w:tc>
      </w:tr>
      <w:tr w:rsidR="00A54DE2">
        <w:tblPrEx>
          <w:tblCellMar>
            <w:top w:w="0" w:type="dxa"/>
            <w:bottom w:w="0" w:type="dxa"/>
          </w:tblCellMar>
        </w:tblPrEx>
        <w:tc>
          <w:tcPr>
            <w:tcW w:w="4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4</w:t>
            </w:r>
          </w:p>
        </w:tc>
        <w:tc>
          <w:tcPr>
            <w:tcW w:w="27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Remove Smart Cities, Telco/ICT and EdTech?</w:t>
            </w:r>
          </w:p>
        </w:tc>
        <w:tc>
          <w:tcPr>
            <w:tcW w:w="360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Industry pages without delivered work contradict the CTO’s direction</w:t>
            </w:r>
          </w:p>
        </w:tc>
        <w:tc>
          <w:tcPr>
            <w:tcW w:w="2660" w:type="dxa"/>
            <w:shd w:val="clear" w:color="auto" w:fill="F4F6FB"/>
            <w:tcMar>
              <w:top w:w="80" w:type="dxa"/>
              <w:left w:w="110" w:type="dxa"/>
              <w:bottom w:w="80" w:type="dxa"/>
              <w:right w:w="110" w:type="dxa"/>
            </w:tcMar>
          </w:tcPr>
          <w:p w:rsidR="00A54DE2" w:rsidRDefault="00633EA7">
            <w:pPr>
              <w:spacing w:after="40"/>
            </w:pPr>
            <w:r>
              <w:rPr>
                <w:rFonts w:ascii="Calibri" w:eastAsia="Calibri" w:hAnsi="Calibri" w:cs="Calibri"/>
                <w:sz w:val="19"/>
                <w:szCs w:val="19"/>
              </w:rPr>
              <w:t>Keep them in the nav but off the homepage strip</w:t>
            </w:r>
          </w:p>
        </w:tc>
      </w:tr>
    </w:tbl>
    <w:p w:rsidR="00A54DE2" w:rsidRDefault="00A54DE2">
      <w:pPr>
        <w:spacing w:after="120"/>
      </w:pPr>
    </w:p>
    <w:p w:rsidR="00A54DE2" w:rsidRDefault="00633EA7">
      <w:pPr>
        <w:spacing w:before="80" w:after="160"/>
      </w:pPr>
      <w:r>
        <w:rPr>
          <w:rFonts w:ascii="Calibri" w:eastAsia="Calibri" w:hAnsi="Calibri" w:cs="Calibri"/>
          <w:b/>
          <w:bCs/>
          <w:color w:val="5A5A6E"/>
          <w:sz w:val="19"/>
          <w:szCs w:val="19"/>
        </w:rPr>
        <w:t xml:space="preserve">The test. </w:t>
      </w:r>
      <w:r>
        <w:rPr>
          <w:rFonts w:ascii="Calibri" w:eastAsia="Calibri" w:hAnsi="Calibri" w:cs="Calibri"/>
          <w:i/>
          <w:iCs/>
          <w:color w:val="5A5A6E"/>
          <w:sz w:val="19"/>
          <w:szCs w:val="19"/>
        </w:rPr>
        <w:t xml:space="preserve">If a client’s compliance officer, a regulator or a journalist asked for the evidence behind any line on this page, could </w:t>
      </w:r>
      <w:proofErr w:type="spellStart"/>
      <w:r>
        <w:rPr>
          <w:rFonts w:ascii="Calibri" w:eastAsia="Calibri" w:hAnsi="Calibri" w:cs="Calibri"/>
          <w:i/>
          <w:iCs/>
          <w:color w:val="5A5A6E"/>
          <w:sz w:val="19"/>
          <w:szCs w:val="19"/>
        </w:rPr>
        <w:t>xLoop</w:t>
      </w:r>
      <w:proofErr w:type="spellEnd"/>
      <w:r>
        <w:rPr>
          <w:rFonts w:ascii="Calibri" w:eastAsia="Calibri" w:hAnsi="Calibri" w:cs="Calibri"/>
          <w:i/>
          <w:iCs/>
          <w:color w:val="5A5A6E"/>
          <w:sz w:val="19"/>
          <w:szCs w:val="19"/>
        </w:rPr>
        <w:t xml:space="preserve"> produce it within an hour? If not, it does not go on the page.</w:t>
      </w:r>
      <w:bookmarkStart w:id="0" w:name="_GoBack"/>
      <w:bookmarkEnd w:id="0"/>
    </w:p>
    <w:sectPr w:rsidR="00A54D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380E8C"/>
    <w:multiLevelType w:val="hybridMultilevel"/>
    <w:tmpl w:val="80A47090"/>
    <w:lvl w:ilvl="0" w:tplc="D39826F6">
      <w:start w:val="1"/>
      <w:numFmt w:val="bullet"/>
      <w:lvlText w:val="•"/>
      <w:lvlJc w:val="left"/>
      <w:pPr>
        <w:ind w:left="431" w:hanging="259"/>
      </w:pPr>
    </w:lvl>
    <w:lvl w:ilvl="1" w:tplc="29621972">
      <w:start w:val="1"/>
      <w:numFmt w:val="bullet"/>
      <w:lvlText w:val="◦"/>
      <w:lvlJc w:val="left"/>
      <w:pPr>
        <w:ind w:left="863" w:hanging="259"/>
      </w:pPr>
    </w:lvl>
    <w:lvl w:ilvl="2" w:tplc="77E2817A">
      <w:numFmt w:val="decimal"/>
      <w:lvlText w:val=""/>
      <w:lvlJc w:val="left"/>
    </w:lvl>
    <w:lvl w:ilvl="3" w:tplc="AA6EA846">
      <w:numFmt w:val="decimal"/>
      <w:lvlText w:val=""/>
      <w:lvlJc w:val="left"/>
    </w:lvl>
    <w:lvl w:ilvl="4" w:tplc="176A7AD6">
      <w:numFmt w:val="decimal"/>
      <w:lvlText w:val=""/>
      <w:lvlJc w:val="left"/>
    </w:lvl>
    <w:lvl w:ilvl="5" w:tplc="C1AEC9BA">
      <w:numFmt w:val="decimal"/>
      <w:lvlText w:val=""/>
      <w:lvlJc w:val="left"/>
    </w:lvl>
    <w:lvl w:ilvl="6" w:tplc="A2F05E22">
      <w:numFmt w:val="decimal"/>
      <w:lvlText w:val=""/>
      <w:lvlJc w:val="left"/>
    </w:lvl>
    <w:lvl w:ilvl="7" w:tplc="B5925394">
      <w:numFmt w:val="decimal"/>
      <w:lvlText w:val=""/>
      <w:lvlJc w:val="left"/>
    </w:lvl>
    <w:lvl w:ilvl="8" w:tplc="AAB46810">
      <w:numFmt w:val="decimal"/>
      <w:lvlText w:val=""/>
      <w:lvlJc w:val="left"/>
    </w:lvl>
  </w:abstractNum>
  <w:abstractNum w:abstractNumId="1" w15:restartNumberingAfterBreak="0">
    <w:nsid w:val="560F4DAB"/>
    <w:multiLevelType w:val="hybridMultilevel"/>
    <w:tmpl w:val="B7E8D92A"/>
    <w:lvl w:ilvl="0" w:tplc="C61E1136">
      <w:start w:val="1"/>
      <w:numFmt w:val="bullet"/>
      <w:lvlText w:val="●"/>
      <w:lvlJc w:val="left"/>
      <w:pPr>
        <w:ind w:left="720" w:hanging="360"/>
      </w:pPr>
    </w:lvl>
    <w:lvl w:ilvl="1" w:tplc="85E2C4C4">
      <w:start w:val="1"/>
      <w:numFmt w:val="bullet"/>
      <w:lvlText w:val="○"/>
      <w:lvlJc w:val="left"/>
      <w:pPr>
        <w:ind w:left="1440" w:hanging="360"/>
      </w:pPr>
    </w:lvl>
    <w:lvl w:ilvl="2" w:tplc="20D2763C">
      <w:start w:val="1"/>
      <w:numFmt w:val="bullet"/>
      <w:lvlText w:val="■"/>
      <w:lvlJc w:val="left"/>
      <w:pPr>
        <w:ind w:left="2160" w:hanging="360"/>
      </w:pPr>
    </w:lvl>
    <w:lvl w:ilvl="3" w:tplc="5DFE7504">
      <w:start w:val="1"/>
      <w:numFmt w:val="bullet"/>
      <w:lvlText w:val="●"/>
      <w:lvlJc w:val="left"/>
      <w:pPr>
        <w:ind w:left="2880" w:hanging="360"/>
      </w:pPr>
    </w:lvl>
    <w:lvl w:ilvl="4" w:tplc="8AA09400">
      <w:start w:val="1"/>
      <w:numFmt w:val="bullet"/>
      <w:lvlText w:val="○"/>
      <w:lvlJc w:val="left"/>
      <w:pPr>
        <w:ind w:left="3600" w:hanging="360"/>
      </w:pPr>
    </w:lvl>
    <w:lvl w:ilvl="5" w:tplc="5502A9E2">
      <w:start w:val="1"/>
      <w:numFmt w:val="bullet"/>
      <w:lvlText w:val="■"/>
      <w:lvlJc w:val="left"/>
      <w:pPr>
        <w:ind w:left="4320" w:hanging="360"/>
      </w:pPr>
    </w:lvl>
    <w:lvl w:ilvl="6" w:tplc="EAC4FBA8">
      <w:start w:val="1"/>
      <w:numFmt w:val="bullet"/>
      <w:lvlText w:val="●"/>
      <w:lvlJc w:val="left"/>
      <w:pPr>
        <w:ind w:left="5040" w:hanging="360"/>
      </w:pPr>
    </w:lvl>
    <w:lvl w:ilvl="7" w:tplc="EB4EA148">
      <w:start w:val="1"/>
      <w:numFmt w:val="bullet"/>
      <w:lvlText w:val="●"/>
      <w:lvlJc w:val="left"/>
      <w:pPr>
        <w:ind w:left="5760" w:hanging="360"/>
      </w:pPr>
    </w:lvl>
    <w:lvl w:ilvl="8" w:tplc="F320A1C4">
      <w:start w:val="1"/>
      <w:numFmt w:val="bullet"/>
      <w:lvlText w:val="●"/>
      <w:lvlJc w:val="left"/>
      <w:pPr>
        <w:ind w:left="6480" w:hanging="360"/>
      </w:pPr>
    </w:lvl>
  </w:abstractNum>
  <w:abstractNum w:abstractNumId="2" w15:restartNumberingAfterBreak="0">
    <w:nsid w:val="58DF39C0"/>
    <w:multiLevelType w:val="hybridMultilevel"/>
    <w:tmpl w:val="69E61602"/>
    <w:lvl w:ilvl="0" w:tplc="CE623D2A">
      <w:start w:val="1"/>
      <w:numFmt w:val="decimal"/>
      <w:lvlText w:val="%1."/>
      <w:lvlJc w:val="left"/>
      <w:pPr>
        <w:ind w:left="431" w:hanging="288"/>
      </w:pPr>
    </w:lvl>
    <w:lvl w:ilvl="1" w:tplc="D054DC5E">
      <w:numFmt w:val="decimal"/>
      <w:lvlText w:val=""/>
      <w:lvlJc w:val="left"/>
    </w:lvl>
    <w:lvl w:ilvl="2" w:tplc="7D6E513C">
      <w:numFmt w:val="decimal"/>
      <w:lvlText w:val=""/>
      <w:lvlJc w:val="left"/>
    </w:lvl>
    <w:lvl w:ilvl="3" w:tplc="EA3A68A6">
      <w:numFmt w:val="decimal"/>
      <w:lvlText w:val=""/>
      <w:lvlJc w:val="left"/>
    </w:lvl>
    <w:lvl w:ilvl="4" w:tplc="259C29F8">
      <w:numFmt w:val="decimal"/>
      <w:lvlText w:val=""/>
      <w:lvlJc w:val="left"/>
    </w:lvl>
    <w:lvl w:ilvl="5" w:tplc="9B4ACB84">
      <w:numFmt w:val="decimal"/>
      <w:lvlText w:val=""/>
      <w:lvlJc w:val="left"/>
    </w:lvl>
    <w:lvl w:ilvl="6" w:tplc="FC5ABA2E">
      <w:numFmt w:val="decimal"/>
      <w:lvlText w:val=""/>
      <w:lvlJc w:val="left"/>
    </w:lvl>
    <w:lvl w:ilvl="7" w:tplc="1252481A">
      <w:numFmt w:val="decimal"/>
      <w:lvlText w:val=""/>
      <w:lvlJc w:val="left"/>
    </w:lvl>
    <w:lvl w:ilvl="8" w:tplc="5EE0158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DE2"/>
    <w:rsid w:val="00210363"/>
    <w:rsid w:val="00633EA7"/>
    <w:rsid w:val="008F406C"/>
    <w:rsid w:val="00A54DE2"/>
    <w:rsid w:val="00C20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645F"/>
  <w15:docId w15:val="{A39FD19B-F539-4195-BC57-4417055C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11</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xLoop Homepage Revamp — v2</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xLoop Homepage Revamp — v2</dc:title>
  <dc:creator>xLoop Marketing</dc:creator>
  <dc:description>Content specification for design and development</dc:description>
  <cp:lastModifiedBy>Sana Qazi</cp:lastModifiedBy>
  <cp:revision>2</cp:revision>
  <dcterms:created xsi:type="dcterms:W3CDTF">2026-09-18T05:12:00Z</dcterms:created>
  <dcterms:modified xsi:type="dcterms:W3CDTF">2026-09-21T08:02:00Z</dcterms:modified>
</cp:coreProperties>
</file>