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05D3" w:rsidRDefault="001E4BBE">
      <w:pPr>
        <w:spacing w:after="80"/>
      </w:pPr>
      <w:r>
        <w:rPr>
          <w:b/>
          <w:bCs/>
          <w:color w:val="1F2A44"/>
          <w:sz w:val="40"/>
          <w:szCs w:val="40"/>
        </w:rPr>
        <w:t>ISO/IEC 27001:2022 Stage 1 Audit</w:t>
      </w:r>
    </w:p>
    <w:p w:rsidR="003805D3" w:rsidRDefault="001E4BBE">
      <w:pPr>
        <w:spacing w:after="240"/>
      </w:pPr>
      <w:r>
        <w:rPr>
          <w:color w:val="4A5568"/>
          <w:sz w:val="26"/>
          <w:szCs w:val="26"/>
        </w:rPr>
        <w:t>Marketing &amp; Design Department: business, service and external communication information</w:t>
      </w:r>
    </w:p>
    <w:tbl>
      <w:tblPr>
        <w:tblW w:w="9638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7228"/>
      </w:tblGrid>
      <w:tr w:rsidR="003805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7229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Sana Qazi, Head of Marketing &amp; AI Transformation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Prepared for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Muhammad Humza, ISO 27001 audit preparation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Date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29 September 2026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1.3 (updated 29 September 2026: revamped footer description, HR headcount of 90, current leadership designations, clients named)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Internal: Confidential. Section 9 lists known gaps and is not for external circulation.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 website checked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www.xloopdigital.com, 29 September 2026. All website quotes in this document are as published on that date.</w:t>
            </w:r>
          </w:p>
        </w:tc>
      </w:tr>
    </w:tbl>
    <w:p w:rsidR="003805D3" w:rsidRDefault="003805D3">
      <w:pPr>
        <w:spacing w:after="80"/>
      </w:pPr>
    </w:p>
    <w:p w:rsidR="003805D3" w:rsidRDefault="001E4BBE">
      <w:pPr>
        <w:pStyle w:val="Heading1"/>
        <w:keepNext/>
        <w:spacing w:before="360" w:after="160"/>
      </w:pPr>
      <w:r>
        <w:rPr>
          <w:b/>
          <w:bCs/>
          <w:color w:val="1F2A44"/>
          <w:sz w:val="30"/>
          <w:szCs w:val="30"/>
        </w:rPr>
        <w:t>1. Company / business overview</w:t>
      </w:r>
    </w:p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>1.1 Public description</w:t>
      </w:r>
    </w:p>
    <w:p w:rsidR="003805D3" w:rsidRDefault="001E4BBE">
      <w:pPr>
        <w:spacing w:after="120"/>
      </w:pPr>
      <w:r>
        <w:rPr>
          <w:b/>
          <w:bCs/>
        </w:rPr>
        <w:t xml:space="preserve">Revamped homepage footer (from the October 2026 launch). </w:t>
      </w:r>
      <w:r>
        <w:t>This is the approved company description:</w:t>
      </w:r>
    </w:p>
    <w:p w:rsidR="003805D3" w:rsidRDefault="001E4BBE">
      <w:pPr>
        <w:spacing w:after="120"/>
      </w:pPr>
      <w:r>
        <w:rPr>
          <w:i/>
          <w:iCs/>
        </w:rPr>
        <w:t>“</w:t>
      </w:r>
      <w:proofErr w:type="spellStart"/>
      <w:r>
        <w:rPr>
          <w:i/>
          <w:iCs/>
        </w:rPr>
        <w:t>xLoop</w:t>
      </w:r>
      <w:proofErr w:type="spellEnd"/>
      <w:r>
        <w:rPr>
          <w:i/>
          <w:iCs/>
        </w:rPr>
        <w:t xml:space="preserve"> is a global AI and data consulting firm, serving high-growth startups, enterprises and public sector clients worldwide. We specialize in Gen AI, Computer Vision, AI Security, and end-to-end data management solutions, partnering with leaders who want to win.”</w:t>
      </w:r>
    </w:p>
    <w:p w:rsidR="003805D3" w:rsidRDefault="001E4BBE">
      <w:pPr>
        <w:spacing w:after="120"/>
      </w:pPr>
      <w:r>
        <w:rPr>
          <w:b/>
          <w:bCs/>
        </w:rPr>
        <w:t xml:space="preserve">Current live footer (until launch). </w:t>
      </w:r>
      <w:r>
        <w:t>This is the version on every page today. The new wording replaces “Fortune 500s” with “high-growth startups, enterprises”:</w:t>
      </w:r>
    </w:p>
    <w:p w:rsidR="003805D3" w:rsidRDefault="001E4BBE">
      <w:pPr>
        <w:spacing w:after="120"/>
      </w:pPr>
      <w:r>
        <w:rPr>
          <w:i/>
          <w:iCs/>
        </w:rPr>
        <w:t>“</w:t>
      </w:r>
      <w:proofErr w:type="spellStart"/>
      <w:r>
        <w:rPr>
          <w:i/>
          <w:iCs/>
        </w:rPr>
        <w:t>xLoop</w:t>
      </w:r>
      <w:proofErr w:type="spellEnd"/>
      <w:r>
        <w:rPr>
          <w:i/>
          <w:iCs/>
        </w:rPr>
        <w:t xml:space="preserve"> is a global AI and data consulting firm, serving Fortune 500s, startups and public sector clients worldwide. We specialize in Gen AI, Computer Vision, AI Security and end-to-end data management solutions, partnering with leaders who want to win.”</w:t>
      </w:r>
    </w:p>
    <w:p w:rsidR="003805D3" w:rsidRDefault="001E4BBE">
      <w:pPr>
        <w:spacing w:after="120"/>
      </w:pPr>
      <w:r>
        <w:t>Corporate decks position the company as “AI Consulting | Digital Engineering” with the line “Where Impactful AI Begins”. The official tagline in the brand guidelines is “Exceeding Expectations”.</w:t>
      </w:r>
    </w:p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>1.1a Positioning on the new website (launching October 2026)</w:t>
      </w:r>
    </w:p>
    <w:p w:rsidR="003805D3" w:rsidRDefault="001E4BBE">
      <w:pPr>
        <w:spacing w:after="120"/>
      </w:pPr>
      <w:r>
        <w:t xml:space="preserve">The website revamp moves </w:t>
      </w:r>
      <w:proofErr w:type="spellStart"/>
      <w:r>
        <w:t>xLoop's</w:t>
      </w:r>
      <w:proofErr w:type="spellEnd"/>
      <w:r>
        <w:t xml:space="preserve"> positioning toward data and AI. The approved homepage copy:</w:t>
      </w:r>
    </w:p>
    <w:p w:rsidR="003805D3" w:rsidRDefault="001E4BB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Positioning line: </w:t>
      </w:r>
      <w:r>
        <w:t>Enterprise AI &amp; Data Consulting</w:t>
      </w:r>
    </w:p>
    <w:p w:rsidR="003805D3" w:rsidRDefault="001E4BB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Summary: </w:t>
      </w:r>
      <w:r>
        <w:t>“Turn fragmented data streams, legacy bottlenecks, and manual processes into predictable, high-yield AI pipelines. Our work spans data platform engineering, cloud migration, AI-assisted legacy modernization, and generative AI deployment, with every engagement grounded in delivered client work.”</w:t>
      </w:r>
    </w:p>
    <w:p w:rsidR="003805D3" w:rsidRDefault="001E4BB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 structure: </w:t>
      </w:r>
      <w:r>
        <w:t xml:space="preserve">services are grouped into clusters. Digital Transformation is the hub for data analytics, cloud and </w:t>
      </w:r>
      <w:proofErr w:type="spellStart"/>
      <w:r>
        <w:t>hyperscaling</w:t>
      </w:r>
      <w:proofErr w:type="spellEnd"/>
      <w:r>
        <w:t>, legacy system modernization, web and app development, and digital engineering. It is positioned as “Digital Transformation That Makes Enterprise AI Work”</w:t>
      </w:r>
    </w:p>
    <w:p w:rsidR="003805D3" w:rsidRDefault="001E4BB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Industries: </w:t>
      </w:r>
      <w:r>
        <w:t>reduced from nine to six, with Mining added</w:t>
      </w:r>
    </w:p>
    <w:p w:rsidR="003805D3" w:rsidRDefault="001E4BBE">
      <w:pPr>
        <w:spacing w:after="120"/>
      </w:pPr>
      <w:r>
        <w:t>Until launch, the live website in Section 3 is what external parties see. This document describes both.</w:t>
      </w:r>
    </w:p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>1.2 Key facts</w:t>
      </w:r>
    </w:p>
    <w:tbl>
      <w:tblPr>
        <w:tblW w:w="9638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4744"/>
        <w:gridCol w:w="2966"/>
      </w:tblGrid>
      <w:tr w:rsidR="003805D3" w:rsidTr="007E56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Fact</w:t>
            </w:r>
          </w:p>
        </w:tc>
        <w:tc>
          <w:tcPr>
            <w:tcW w:w="4744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Current confirmed position</w:t>
            </w:r>
          </w:p>
        </w:tc>
        <w:tc>
          <w:tcPr>
            <w:tcW w:w="2966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3805D3" w:rsidTr="007E5646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Trading name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xLoop</w:t>
            </w:r>
            <w:proofErr w:type="spellEnd"/>
            <w:r>
              <w:rPr>
                <w:sz w:val="18"/>
                <w:szCs w:val="18"/>
              </w:rPr>
              <w:t xml:space="preserve"> Digital (“</w:t>
            </w:r>
            <w:proofErr w:type="spellStart"/>
            <w:r>
              <w:rPr>
                <w:sz w:val="18"/>
                <w:szCs w:val="18"/>
              </w:rPr>
              <w:t>xLoop</w:t>
            </w:r>
            <w:proofErr w:type="spellEnd"/>
            <w:r>
              <w:rPr>
                <w:sz w:val="18"/>
                <w:szCs w:val="18"/>
              </w:rPr>
              <w:t>”)</w:t>
            </w:r>
          </w:p>
        </w:tc>
        <w:tc>
          <w:tcPr>
            <w:tcW w:w="29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3805D3"/>
        </w:tc>
      </w:tr>
      <w:tr w:rsidR="003805D3" w:rsidTr="007E5646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lastRenderedPageBreak/>
              <w:t>Founded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2022</w:t>
            </w:r>
          </w:p>
        </w:tc>
        <w:tc>
          <w:tcPr>
            <w:tcW w:w="29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3805D3" w:rsidP="007E5646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3805D3" w:rsidTr="007E5646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90, per HR (September 2026). Includes consultants across the globe; excludes interns, who are temporary and not permanent resources</w:t>
            </w:r>
          </w:p>
        </w:tc>
        <w:tc>
          <w:tcPr>
            <w:tcW w:w="29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3805D3" w:rsidP="007E5646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3805D3" w:rsidTr="007E5646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Offices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Karachi, Pakistan: 1st Floor, Marine Tower, Block 4 Clifton (Offshore Delivery Center)</w:t>
            </w:r>
          </w:p>
          <w:p w:rsidR="003805D3" w:rsidRDefault="001E4BBE">
            <w:r>
              <w:rPr>
                <w:sz w:val="18"/>
                <w:szCs w:val="18"/>
              </w:rPr>
              <w:t>San Mateo, California, USA: 1825 South Grant St. (HQ)</w:t>
            </w:r>
          </w:p>
          <w:p w:rsidR="003805D3" w:rsidRDefault="001E4BBE">
            <w:r>
              <w:rPr>
                <w:sz w:val="18"/>
                <w:szCs w:val="18"/>
              </w:rPr>
              <w:t>Dubai, UAE: IFZA, Dubai Silicon Oasis (Regional HQ)</w:t>
            </w:r>
          </w:p>
          <w:p w:rsidR="003805D3" w:rsidRDefault="001E4BBE">
            <w:r>
              <w:rPr>
                <w:sz w:val="18"/>
                <w:szCs w:val="18"/>
              </w:rPr>
              <w:t>Doha, Qatar: Tower 1, QFC, West Bay (Regional HQ)</w:t>
            </w:r>
          </w:p>
        </w:tc>
        <w:tc>
          <w:tcPr>
            <w:tcW w:w="29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3805D3" w:rsidP="007E5646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3805D3" w:rsidTr="007E5646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Europe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Engineering resources in Hungary, plus partnerships signed there</w:t>
            </w:r>
          </w:p>
        </w:tc>
        <w:tc>
          <w:tcPr>
            <w:tcW w:w="29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Described publicly as presence in Europe, not an office</w:t>
            </w:r>
          </w:p>
        </w:tc>
      </w:tr>
      <w:tr w:rsidR="003805D3" w:rsidTr="007E5646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Pr="007E5646" w:rsidRDefault="007E5646" w:rsidP="007E5646">
            <w:r>
              <w:t>Service lines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xTend</w:t>
            </w:r>
            <w:proofErr w:type="spellEnd"/>
            <w:r>
              <w:rPr>
                <w:sz w:val="18"/>
                <w:szCs w:val="18"/>
              </w:rPr>
              <w:t xml:space="preserve"> (services), </w:t>
            </w:r>
            <w:proofErr w:type="spellStart"/>
            <w:r>
              <w:rPr>
                <w:sz w:val="18"/>
                <w:szCs w:val="18"/>
              </w:rPr>
              <w:t>xLab</w:t>
            </w:r>
            <w:proofErr w:type="spellEnd"/>
            <w:r>
              <w:rPr>
                <w:sz w:val="18"/>
                <w:szCs w:val="18"/>
              </w:rPr>
              <w:t xml:space="preserve"> (products and solutions), </w:t>
            </w:r>
            <w:proofErr w:type="spellStart"/>
            <w:r>
              <w:rPr>
                <w:sz w:val="18"/>
                <w:szCs w:val="18"/>
              </w:rPr>
              <w:t>xSecurity</w:t>
            </w:r>
            <w:proofErr w:type="spellEnd"/>
            <w:r>
              <w:rPr>
                <w:sz w:val="18"/>
                <w:szCs w:val="18"/>
              </w:rPr>
              <w:t xml:space="preserve"> (cyber and AI security), </w:t>
            </w:r>
            <w:proofErr w:type="spellStart"/>
            <w:r>
              <w:rPr>
                <w:sz w:val="18"/>
                <w:szCs w:val="18"/>
              </w:rPr>
              <w:t>xCelerate</w:t>
            </w:r>
            <w:proofErr w:type="spellEnd"/>
            <w:r>
              <w:rPr>
                <w:sz w:val="18"/>
                <w:szCs w:val="18"/>
              </w:rPr>
              <w:t xml:space="preserve"> (tech training and upskilling). Specialist engineering capacity (resource augmentation) is also offere</w:t>
            </w:r>
            <w:r w:rsidR="007E5646">
              <w:rPr>
                <w:sz w:val="18"/>
                <w:szCs w:val="18"/>
              </w:rPr>
              <w:t>d to partner firms, but not something that we openly identify our brand with</w:t>
            </w:r>
          </w:p>
        </w:tc>
        <w:tc>
          <w:tcPr>
            <w:tcW w:w="29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3805D3" w:rsidP="007E5646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3805D3" w:rsidTr="007E5646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Technology partners (public)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AWS, Microsoft, Snowflake, Databricks, Salesforce</w:t>
            </w:r>
          </w:p>
        </w:tc>
        <w:tc>
          <w:tcPr>
            <w:tcW w:w="29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Microsoft: base Microsoft Partner status only; no Solutions Partner designation</w:t>
            </w:r>
          </w:p>
        </w:tc>
      </w:tr>
    </w:tbl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 xml:space="preserve">1.3 Leadership </w:t>
      </w:r>
    </w:p>
    <w:p w:rsidR="007E5646" w:rsidRDefault="001E4BBE">
      <w:pPr>
        <w:spacing w:after="120"/>
      </w:pPr>
      <w:r>
        <w:t xml:space="preserve">Mir Nasir (Founder/CEO), Ali Abbasi (VP Training &amp; Development), </w:t>
      </w:r>
      <w:proofErr w:type="spellStart"/>
      <w:r>
        <w:t>Atir</w:t>
      </w:r>
      <w:proofErr w:type="spellEnd"/>
      <w:r>
        <w:t xml:space="preserve"> Ahsan (GM Finance), Sarosh Syed (Chief Growth Officer), Daniyal Abbasi (Chief Operating Officer), Sana Qazi (Head of Marketing &amp; AI Transformation), </w:t>
      </w:r>
      <w:r w:rsidR="007E5646">
        <w:t>Hunaina Akhai</w:t>
      </w:r>
      <w:r>
        <w:t xml:space="preserve"> (People &amp; Culture Lead), Farrukh Feroze (Head of AI Security), Faraz Ahmed (Manager Administration), Abdul </w:t>
      </w:r>
      <w:proofErr w:type="spellStart"/>
      <w:r>
        <w:t>Wasey</w:t>
      </w:r>
      <w:proofErr w:type="spellEnd"/>
      <w:r>
        <w:t xml:space="preserve"> Siddique (Principal Cloud Engineer), Hasan Haider Jafri (Client Enablement &amp; AI Insights Lead). The designations above are current.</w:t>
      </w:r>
    </w:p>
    <w:p w:rsidR="003805D3" w:rsidRDefault="001E4BBE">
      <w:pPr>
        <w:spacing w:after="120"/>
      </w:pPr>
      <w:r>
        <w:t xml:space="preserve">The live About page still shows Sarosh Syed as Head of Sales and Daniyal Abbasi as Head of AI Solutions &amp; Consulting. </w:t>
      </w:r>
      <w:r w:rsidR="00401735">
        <w:t>We will be updating this in October, along with the rest of the website changes and updates.</w:t>
      </w:r>
    </w:p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>1.4 Industries</w:t>
      </w:r>
    </w:p>
    <w:p w:rsidR="003805D3" w:rsidRDefault="001E4BBE">
      <w:pPr>
        <w:spacing w:after="120"/>
      </w:pPr>
      <w:r>
        <w:t xml:space="preserve">The website currently has nine industry pages: Banking &amp; Finance, Energy &amp; Utilities, Smart Cities, Manufacturing, EdTech, Telco/ICT, Healthcare, Transport &amp; Logistics, Retail &amp; eCommerce. The website revamp (launching October 2026) </w:t>
      </w:r>
      <w:r w:rsidR="00401735">
        <w:t xml:space="preserve">replaces Manufacturing with Mining. </w:t>
      </w:r>
    </w:p>
    <w:p w:rsidR="003805D3" w:rsidRDefault="001E4BBE">
      <w:pPr>
        <w:pStyle w:val="Heading1"/>
        <w:keepNext/>
        <w:spacing w:before="360" w:after="160"/>
      </w:pPr>
      <w:r>
        <w:rPr>
          <w:b/>
          <w:bCs/>
          <w:color w:val="1F2A44"/>
          <w:sz w:val="30"/>
          <w:szCs w:val="30"/>
        </w:rPr>
        <w:t>2. Service portfolio</w:t>
      </w:r>
    </w:p>
    <w:p w:rsidR="00401735" w:rsidRDefault="001E4BBE" w:rsidP="00401735">
      <w:r>
        <w:t xml:space="preserve">Status key: Live = page published on the website. </w:t>
      </w:r>
    </w:p>
    <w:p w:rsidR="00401735" w:rsidRDefault="001E4BBE" w:rsidP="00401735">
      <w:r>
        <w:t xml:space="preserve">In build = part of the website revamp, not yet public. </w:t>
      </w:r>
    </w:p>
    <w:p w:rsidR="003805D3" w:rsidRDefault="001E4BBE" w:rsidP="00401735">
      <w:r>
        <w:t>Planned = announced or in progress, not delivered as an offering.</w:t>
      </w:r>
    </w:p>
    <w:p w:rsidR="00401735" w:rsidRDefault="00401735" w:rsidP="00401735"/>
    <w:tbl>
      <w:tblPr>
        <w:tblW w:w="9638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5"/>
        <w:gridCol w:w="3614"/>
        <w:gridCol w:w="2891"/>
        <w:gridCol w:w="1928"/>
      </w:tblGrid>
      <w:tr w:rsidR="003805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5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Business line</w:t>
            </w:r>
          </w:p>
        </w:tc>
        <w:tc>
          <w:tcPr>
            <w:tcW w:w="3614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Service / offering</w:t>
            </w:r>
          </w:p>
        </w:tc>
        <w:tc>
          <w:tcPr>
            <w:tcW w:w="2891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Website page</w:t>
            </w:r>
          </w:p>
        </w:tc>
        <w:tc>
          <w:tcPr>
            <w:tcW w:w="1928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xTend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AI Consulting &amp; Development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/services/ai-consulting-and-development, /ai-consultancy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xTend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Generative AI; Large Language Models; AI Agents &amp; Autonomous Systems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/services/generative-ai, /large-language-models, /ai-agents-and-autonomous-systems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xTend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Machine Learning; Computer Vision; Predictive Analytics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/services/machine-learning, /computer-vision, /predictive-analytics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xTend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Digital Twin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/services/digital-twin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Live 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xTend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Data Analytics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/services/data-analytics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lastRenderedPageBreak/>
              <w:t>xTend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Cloud &amp; </w:t>
            </w:r>
            <w:proofErr w:type="spellStart"/>
            <w:r>
              <w:rPr>
                <w:sz w:val="18"/>
                <w:szCs w:val="18"/>
              </w:rPr>
              <w:t>Hyperscaling</w:t>
            </w:r>
            <w:proofErr w:type="spellEnd"/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/services/cloud-and-</w:t>
            </w:r>
            <w:proofErr w:type="spellStart"/>
            <w:r>
              <w:rPr>
                <w:sz w:val="18"/>
                <w:szCs w:val="18"/>
              </w:rPr>
              <w:t>hyperscaling</w:t>
            </w:r>
            <w:proofErr w:type="spellEnd"/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xTend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Web &amp; App Development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/services/web-and-app-development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xTend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Digital Engineering (hub)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/digital-engineering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Live; being restructured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xTend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Digital Transformation (hub)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New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In build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xTend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Legacy System Modernization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New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In build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xLab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Design Studio (UI/UX and product design)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xlab</w:t>
            </w:r>
            <w:proofErr w:type="spellEnd"/>
            <w:r>
              <w:rPr>
                <w:sz w:val="18"/>
                <w:szCs w:val="18"/>
              </w:rPr>
              <w:t>/design-studio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xSecurity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Cyber Security Services: vulnerability assessment, penetration testing, cloud security, architecture review, application security, SOC services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/services/cyber-security-service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xSecurity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AI Security Services: AI red teaming, AI security audit, AI SOC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/services/ai-security-service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xSecurity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NEPRA IT/OT Regulatory Compliance: compliance audit, IT &amp; OT VAPT, security policy framework, awareness &amp; SCADA operator training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/services/</w:t>
            </w:r>
            <w:proofErr w:type="spellStart"/>
            <w:r>
              <w:rPr>
                <w:sz w:val="18"/>
                <w:szCs w:val="18"/>
              </w:rPr>
              <w:t>nepra</w:t>
            </w:r>
            <w:proofErr w:type="spellEnd"/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  <w:r w:rsidR="00401735">
              <w:rPr>
                <w:sz w:val="18"/>
                <w:szCs w:val="18"/>
              </w:rPr>
              <w:t xml:space="preserve">; to be added to main nav bar under </w:t>
            </w:r>
            <w:proofErr w:type="spellStart"/>
            <w:r w:rsidR="00401735">
              <w:rPr>
                <w:sz w:val="18"/>
                <w:szCs w:val="18"/>
              </w:rPr>
              <w:t>xSecurity</w:t>
            </w:r>
            <w:proofErr w:type="spellEnd"/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xSecurity</w:t>
            </w:r>
            <w:proofErr w:type="spellEnd"/>
            <w:r w:rsidR="00401735">
              <w:rPr>
                <w:sz w:val="18"/>
                <w:szCs w:val="18"/>
              </w:rPr>
              <w:t xml:space="preserve"> Diagnostic</w:t>
            </w:r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AI Security Assessment (online diagnostic tool)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Security pages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Built; goes live by 2nd week of October 2026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xCelerate</w:t>
            </w:r>
            <w:proofErr w:type="spellEnd"/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Tech career training and AI bootcamps (e.g. with Mari Energies, cohorts I and II)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xcelerate</w:t>
            </w:r>
            <w:proofErr w:type="spellEnd"/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401735">
            <w:r>
              <w:rPr>
                <w:sz w:val="18"/>
                <w:szCs w:val="18"/>
              </w:rPr>
              <w:t xml:space="preserve">Data &amp; AI </w:t>
            </w:r>
            <w:r>
              <w:rPr>
                <w:sz w:val="18"/>
                <w:szCs w:val="18"/>
              </w:rPr>
              <w:t>Dia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nostic</w:t>
            </w:r>
          </w:p>
        </w:tc>
        <w:tc>
          <w:tcPr>
            <w:tcW w:w="36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Data &amp; AI Readiness Assessment (online diagnostic tool)</w:t>
            </w:r>
          </w:p>
        </w:tc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Homepage (the “AI Readiness” call to action is already live)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In build; launches with new homepage, October 2026</w:t>
            </w:r>
          </w:p>
        </w:tc>
      </w:tr>
    </w:tbl>
    <w:p w:rsidR="003805D3" w:rsidRDefault="001E4BBE">
      <w:pPr>
        <w:pStyle w:val="Heading1"/>
        <w:keepNext/>
        <w:spacing w:before="360" w:after="160"/>
      </w:pPr>
      <w:r>
        <w:rPr>
          <w:b/>
          <w:bCs/>
          <w:color w:val="1F2A44"/>
          <w:sz w:val="30"/>
          <w:szCs w:val="30"/>
        </w:rPr>
        <w:t>3. Website and public-facing information</w:t>
      </w:r>
    </w:p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>3.1 Public channels</w:t>
      </w:r>
    </w:p>
    <w:tbl>
      <w:tblPr>
        <w:tblW w:w="9638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3"/>
        <w:gridCol w:w="3329"/>
        <w:gridCol w:w="2459"/>
        <w:gridCol w:w="2247"/>
      </w:tblGrid>
      <w:tr w:rsidR="003805D3" w:rsidTr="00DB509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3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Channel</w:t>
            </w:r>
          </w:p>
        </w:tc>
        <w:tc>
          <w:tcPr>
            <w:tcW w:w="3329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2459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Owner of content</w:t>
            </w:r>
          </w:p>
        </w:tc>
        <w:tc>
          <w:tcPr>
            <w:tcW w:w="2247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3805D3" w:rsidTr="00DB509A">
        <w:tblPrEx>
          <w:tblCellMar>
            <w:top w:w="0" w:type="dxa"/>
            <w:bottom w:w="0" w:type="dxa"/>
          </w:tblCellMar>
        </w:tblPrEx>
        <w:tc>
          <w:tcPr>
            <w:tcW w:w="1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Website</w:t>
            </w:r>
          </w:p>
        </w:tc>
        <w:tc>
          <w:tcPr>
            <w:tcW w:w="3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https://www.xloopdigital.com</w:t>
            </w:r>
          </w:p>
        </w:tc>
        <w:tc>
          <w:tcPr>
            <w:tcW w:w="24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Marketing (content, design); Production (build, hosting, releases)</w:t>
            </w:r>
          </w:p>
        </w:tc>
        <w:tc>
          <w:tcPr>
            <w:tcW w:w="2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React / Next.js. Built by 2 developers in the Production team</w:t>
            </w:r>
          </w:p>
        </w:tc>
      </w:tr>
      <w:tr w:rsidR="003805D3" w:rsidTr="00DB509A">
        <w:tblPrEx>
          <w:tblCellMar>
            <w:top w:w="0" w:type="dxa"/>
            <w:bottom w:w="0" w:type="dxa"/>
          </w:tblCellMar>
        </w:tblPrEx>
        <w:tc>
          <w:tcPr>
            <w:tcW w:w="1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LinkedIn (main)</w:t>
            </w:r>
          </w:p>
        </w:tc>
        <w:tc>
          <w:tcPr>
            <w:tcW w:w="3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linkedin.com/company/</w:t>
            </w:r>
            <w:proofErr w:type="spellStart"/>
            <w:r>
              <w:rPr>
                <w:sz w:val="18"/>
                <w:szCs w:val="18"/>
              </w:rPr>
              <w:t>xloopdigital</w:t>
            </w:r>
            <w:proofErr w:type="spellEnd"/>
          </w:p>
        </w:tc>
        <w:tc>
          <w:tcPr>
            <w:tcW w:w="24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Marketing</w:t>
            </w:r>
          </w:p>
        </w:tc>
        <w:tc>
          <w:tcPr>
            <w:tcW w:w="2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Linked from the website</w:t>
            </w:r>
          </w:p>
        </w:tc>
      </w:tr>
      <w:tr w:rsidR="003805D3" w:rsidTr="00DB509A">
        <w:tblPrEx>
          <w:tblCellMar>
            <w:top w:w="0" w:type="dxa"/>
            <w:bottom w:w="0" w:type="dxa"/>
          </w:tblCellMar>
        </w:tblPrEx>
        <w:tc>
          <w:tcPr>
            <w:tcW w:w="1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Facebook</w:t>
            </w:r>
          </w:p>
        </w:tc>
        <w:tc>
          <w:tcPr>
            <w:tcW w:w="3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facebook.com/</w:t>
            </w:r>
            <w:proofErr w:type="spellStart"/>
            <w:r>
              <w:rPr>
                <w:sz w:val="18"/>
                <w:szCs w:val="18"/>
              </w:rPr>
              <w:t>xloopdigital</w:t>
            </w:r>
            <w:proofErr w:type="spellEnd"/>
          </w:p>
        </w:tc>
        <w:tc>
          <w:tcPr>
            <w:tcW w:w="24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Marketing</w:t>
            </w:r>
          </w:p>
        </w:tc>
        <w:tc>
          <w:tcPr>
            <w:tcW w:w="2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3805D3"/>
        </w:tc>
      </w:tr>
      <w:tr w:rsidR="003805D3" w:rsidTr="00DB509A">
        <w:tblPrEx>
          <w:tblCellMar>
            <w:top w:w="0" w:type="dxa"/>
            <w:bottom w:w="0" w:type="dxa"/>
          </w:tblCellMar>
        </w:tblPrEx>
        <w:tc>
          <w:tcPr>
            <w:tcW w:w="1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Instagram</w:t>
            </w:r>
          </w:p>
        </w:tc>
        <w:tc>
          <w:tcPr>
            <w:tcW w:w="3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instagram.com/</w:t>
            </w:r>
            <w:proofErr w:type="spellStart"/>
            <w:r>
              <w:rPr>
                <w:sz w:val="18"/>
                <w:szCs w:val="18"/>
              </w:rPr>
              <w:t>xloopdigital</w:t>
            </w:r>
            <w:proofErr w:type="spellEnd"/>
            <w:r w:rsidR="00401735">
              <w:rPr>
                <w:sz w:val="18"/>
                <w:szCs w:val="18"/>
              </w:rPr>
              <w:br/>
            </w:r>
            <w:r w:rsidR="00401735">
              <w:t>Instagram.com/</w:t>
            </w:r>
            <w:proofErr w:type="spellStart"/>
            <w:r w:rsidR="00401735">
              <w:t>xcelerate</w:t>
            </w:r>
            <w:r w:rsidR="00DB509A">
              <w:t>.bootcamps</w:t>
            </w:r>
            <w:proofErr w:type="spellEnd"/>
          </w:p>
        </w:tc>
        <w:tc>
          <w:tcPr>
            <w:tcW w:w="24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Marketing</w:t>
            </w:r>
          </w:p>
        </w:tc>
        <w:tc>
          <w:tcPr>
            <w:tcW w:w="2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3805D3"/>
        </w:tc>
      </w:tr>
      <w:tr w:rsidR="003805D3" w:rsidTr="00DB509A">
        <w:tblPrEx>
          <w:tblCellMar>
            <w:top w:w="0" w:type="dxa"/>
            <w:bottom w:w="0" w:type="dxa"/>
          </w:tblCellMar>
        </w:tblPrEx>
        <w:tc>
          <w:tcPr>
            <w:tcW w:w="1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Public contact (</w:t>
            </w:r>
            <w:proofErr w:type="spellStart"/>
            <w:r>
              <w:rPr>
                <w:sz w:val="18"/>
                <w:szCs w:val="18"/>
              </w:rPr>
              <w:t>xSecurity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xsecurity@xloopdigital.com, </w:t>
            </w:r>
            <w:r w:rsidR="00DB509A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+92 21 3586 9200</w:t>
            </w:r>
          </w:p>
        </w:tc>
        <w:tc>
          <w:tcPr>
            <w:tcW w:w="24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xSecurity</w:t>
            </w:r>
            <w:proofErr w:type="spellEnd"/>
          </w:p>
        </w:tc>
        <w:tc>
          <w:tcPr>
            <w:tcW w:w="2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Published on the NEPRA page and NEPRA letters</w:t>
            </w:r>
          </w:p>
        </w:tc>
      </w:tr>
    </w:tbl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>3.</w:t>
      </w:r>
      <w:r w:rsidR="00DB509A">
        <w:rPr>
          <w:b/>
          <w:bCs/>
          <w:color w:val="1F2A44"/>
          <w:sz w:val="24"/>
          <w:szCs w:val="24"/>
        </w:rPr>
        <w:t xml:space="preserve">2 </w:t>
      </w:r>
      <w:r>
        <w:rPr>
          <w:b/>
          <w:bCs/>
          <w:color w:val="1F2A44"/>
          <w:sz w:val="24"/>
          <w:szCs w:val="24"/>
        </w:rPr>
        <w:t>Where the website collects personal data</w:t>
      </w:r>
    </w:p>
    <w:tbl>
      <w:tblPr>
        <w:tblW w:w="9638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3029"/>
        <w:gridCol w:w="3580"/>
      </w:tblGrid>
      <w:tr w:rsidR="003805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9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Collection point</w:t>
            </w:r>
          </w:p>
        </w:tc>
        <w:tc>
          <w:tcPr>
            <w:tcW w:w="3029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Data collected</w:t>
            </w:r>
          </w:p>
        </w:tc>
        <w:tc>
          <w:tcPr>
            <w:tcW w:w="3580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Observation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30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Contact Us form (/contact-us)</w:t>
            </w:r>
          </w:p>
        </w:tc>
        <w:tc>
          <w:tcPr>
            <w:tcW w:w="30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Name, company name, email, phone, free-text message</w:t>
            </w:r>
          </w:p>
        </w:tc>
        <w:tc>
          <w:tcPr>
            <w:tcW w:w="3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No privacy notice link or consent checkbox at the form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30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“Get a Free Consultation” and “Let's Talk” forms on service pages</w:t>
            </w:r>
          </w:p>
        </w:tc>
        <w:tc>
          <w:tcPr>
            <w:tcW w:w="30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Name and enquiry details</w:t>
            </w:r>
          </w:p>
        </w:tc>
        <w:tc>
          <w:tcPr>
            <w:tcW w:w="3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Same as above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30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Google Analytics 4</w:t>
            </w:r>
          </w:p>
        </w:tc>
        <w:tc>
          <w:tcPr>
            <w:tcW w:w="30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Cookie-based usage data (_</w:t>
            </w:r>
            <w:proofErr w:type="spellStart"/>
            <w:r>
              <w:rPr>
                <w:sz w:val="18"/>
                <w:szCs w:val="18"/>
              </w:rPr>
              <w:t>ga</w:t>
            </w:r>
            <w:proofErr w:type="spellEnd"/>
            <w:r>
              <w:rPr>
                <w:sz w:val="18"/>
                <w:szCs w:val="18"/>
              </w:rPr>
              <w:t xml:space="preserve"> cookies)</w:t>
            </w:r>
          </w:p>
        </w:tc>
        <w:tc>
          <w:tcPr>
            <w:tcW w:w="3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Cookies are set on first page load. There is no cookie consent banner. See G7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30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lastRenderedPageBreak/>
              <w:t>Published email and phone</w:t>
            </w:r>
          </w:p>
        </w:tc>
        <w:tc>
          <w:tcPr>
            <w:tcW w:w="30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Whatever the sender provides</w:t>
            </w:r>
          </w:p>
        </w:tc>
        <w:tc>
          <w:tcPr>
            <w:tcW w:w="3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Handled by the receiving team</w:t>
            </w:r>
            <w:r w:rsidR="00DB509A">
              <w:rPr>
                <w:sz w:val="18"/>
                <w:szCs w:val="18"/>
              </w:rPr>
              <w:t>; Marketing</w:t>
            </w:r>
          </w:p>
        </w:tc>
      </w:tr>
    </w:tbl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>3.</w:t>
      </w:r>
      <w:r w:rsidR="00964F81">
        <w:rPr>
          <w:b/>
          <w:bCs/>
          <w:color w:val="1F2A44"/>
          <w:sz w:val="24"/>
          <w:szCs w:val="24"/>
        </w:rPr>
        <w:t>3</w:t>
      </w:r>
      <w:r>
        <w:rPr>
          <w:b/>
          <w:bCs/>
          <w:color w:val="1F2A44"/>
          <w:sz w:val="24"/>
          <w:szCs w:val="24"/>
        </w:rPr>
        <w:t xml:space="preserve"> How website content is changed</w:t>
      </w:r>
    </w:p>
    <w:p w:rsidR="003805D3" w:rsidRDefault="001E4BBE">
      <w:pPr>
        <w:pStyle w:val="ListParagraph"/>
        <w:numPr>
          <w:ilvl w:val="0"/>
          <w:numId w:val="2"/>
        </w:numPr>
        <w:spacing w:after="60"/>
      </w:pPr>
      <w:r>
        <w:t xml:space="preserve">Marketing writes content and produces designs in </w:t>
      </w:r>
      <w:proofErr w:type="spellStart"/>
      <w:r>
        <w:t>Figma</w:t>
      </w:r>
      <w:proofErr w:type="spellEnd"/>
      <w:r>
        <w:t>; the Production developers build and release.</w:t>
      </w:r>
    </w:p>
    <w:p w:rsidR="003805D3" w:rsidRDefault="001E4BBE">
      <w:pPr>
        <w:pStyle w:val="ListParagraph"/>
        <w:numPr>
          <w:ilvl w:val="0"/>
          <w:numId w:val="2"/>
        </w:numPr>
        <w:spacing w:after="60"/>
      </w:pPr>
      <w:r>
        <w:t>Content requests go to the Head of Marketing with 2 working days' notice. Design-only requests with approved content go to the creative lead.</w:t>
      </w:r>
    </w:p>
    <w:p w:rsidR="003805D3" w:rsidRDefault="001E4BBE">
      <w:pPr>
        <w:pStyle w:val="Heading1"/>
        <w:keepNext/>
        <w:spacing w:before="360" w:after="160"/>
      </w:pPr>
      <w:r>
        <w:rPr>
          <w:b/>
          <w:bCs/>
          <w:color w:val="1F2A44"/>
          <w:sz w:val="30"/>
          <w:szCs w:val="30"/>
        </w:rPr>
        <w:t>4. Marketing material register</w:t>
      </w:r>
    </w:p>
    <w:p w:rsidR="003805D3" w:rsidRDefault="001E4BBE">
      <w:pPr>
        <w:spacing w:after="120"/>
      </w:pPr>
      <w:r>
        <w:t>Current external-facing material</w:t>
      </w:r>
      <w:r w:rsidR="00DB509A">
        <w:t xml:space="preserve">. </w:t>
      </w:r>
      <w:r>
        <w:t xml:space="preserve"> </w:t>
      </w:r>
    </w:p>
    <w:tbl>
      <w:tblPr>
        <w:tblW w:w="9512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2324"/>
        <w:gridCol w:w="4297"/>
      </w:tblGrid>
      <w:tr w:rsidR="00DB509A" w:rsidTr="00DB509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b/>
                <w:bCs/>
                <w:sz w:val="18"/>
                <w:szCs w:val="18"/>
              </w:rPr>
              <w:t>Material</w:t>
            </w:r>
          </w:p>
        </w:tc>
        <w:tc>
          <w:tcPr>
            <w:tcW w:w="2324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b/>
                <w:bCs/>
                <w:sz w:val="18"/>
                <w:szCs w:val="18"/>
              </w:rPr>
              <w:t>Format / date</w:t>
            </w:r>
          </w:p>
        </w:tc>
        <w:tc>
          <w:tcPr>
            <w:tcW w:w="4297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b/>
                <w:bCs/>
                <w:sz w:val="18"/>
                <w:szCs w:val="18"/>
              </w:rPr>
              <w:t>Used for</w:t>
            </w:r>
          </w:p>
        </w:tc>
      </w:tr>
      <w:tr w:rsidR="00DB509A" w:rsidTr="00DB509A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Company slide library (Decks.pptx)</w:t>
            </w:r>
          </w:p>
        </w:tc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PPTX, SharePoint, maintained by the creative lead; updated continuously</w:t>
            </w:r>
          </w:p>
        </w:tc>
        <w:tc>
          <w:tcPr>
            <w:tcW w:w="42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Master source for all company presentations. Every new slide is added here; each team builds a deck from it for its audience and situation</w:t>
            </w:r>
          </w:p>
        </w:tc>
      </w:tr>
      <w:tr w:rsidR="00DB509A" w:rsidTr="00DB509A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AI Deck</w:t>
            </w:r>
          </w:p>
        </w:tc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PDF, August 2026</w:t>
            </w:r>
          </w:p>
        </w:tc>
        <w:tc>
          <w:tcPr>
            <w:tcW w:w="42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AI capabilities presentation</w:t>
            </w:r>
          </w:p>
        </w:tc>
      </w:tr>
      <w:tr w:rsidR="00DB509A" w:rsidTr="00DB509A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Use Cases Deck</w:t>
            </w:r>
          </w:p>
        </w:tc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PDF, September 2026</w:t>
            </w:r>
          </w:p>
        </w:tc>
        <w:tc>
          <w:tcPr>
            <w:tcW w:w="42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AI use cases for prospects</w:t>
            </w:r>
          </w:p>
        </w:tc>
      </w:tr>
      <w:tr w:rsidR="00DB509A" w:rsidTr="00DB509A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proofErr w:type="spellStart"/>
            <w:r>
              <w:rPr>
                <w:sz w:val="18"/>
                <w:szCs w:val="18"/>
              </w:rPr>
              <w:t>xLoop</w:t>
            </w:r>
            <w:proofErr w:type="spellEnd"/>
            <w:r>
              <w:rPr>
                <w:sz w:val="18"/>
                <w:szCs w:val="18"/>
              </w:rPr>
              <w:t xml:space="preserve"> Case Studies </w:t>
            </w:r>
          </w:p>
        </w:tc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PPTX, September 2026</w:t>
            </w:r>
          </w:p>
        </w:tc>
        <w:tc>
          <w:tcPr>
            <w:tcW w:w="42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Anonymized case studies for sales</w:t>
            </w:r>
          </w:p>
        </w:tc>
      </w:tr>
      <w:tr w:rsidR="00DB509A" w:rsidTr="00DB509A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Client testimonials document</w:t>
            </w:r>
          </w:p>
        </w:tc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DOCX</w:t>
            </w:r>
          </w:p>
        </w:tc>
        <w:tc>
          <w:tcPr>
            <w:tcW w:w="42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Source for verbatim testimonials on website and decks</w:t>
            </w:r>
          </w:p>
        </w:tc>
      </w:tr>
      <w:tr w:rsidR="00DB509A" w:rsidTr="00DB509A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Brand guidelines</w:t>
            </w:r>
          </w:p>
        </w:tc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PDF</w:t>
            </w:r>
          </w:p>
        </w:tc>
        <w:tc>
          <w:tcPr>
            <w:tcW w:w="42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Visual identity and tone of voice</w:t>
            </w:r>
          </w:p>
        </w:tc>
      </w:tr>
      <w:tr w:rsidR="00DB509A" w:rsidTr="00DB509A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proofErr w:type="spellStart"/>
            <w:r>
              <w:rPr>
                <w:sz w:val="18"/>
                <w:szCs w:val="18"/>
              </w:rPr>
              <w:t>xLoop</w:t>
            </w:r>
            <w:proofErr w:type="spellEnd"/>
            <w:r>
              <w:rPr>
                <w:sz w:val="18"/>
                <w:szCs w:val="18"/>
              </w:rPr>
              <w:t xml:space="preserve"> AI Training deck; regional training deck</w:t>
            </w:r>
          </w:p>
        </w:tc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PPTX, September 2026</w:t>
            </w:r>
          </w:p>
        </w:tc>
        <w:tc>
          <w:tcPr>
            <w:tcW w:w="42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proofErr w:type="spellStart"/>
            <w:r>
              <w:rPr>
                <w:sz w:val="18"/>
                <w:szCs w:val="18"/>
              </w:rPr>
              <w:t>xCelerate</w:t>
            </w:r>
            <w:proofErr w:type="spellEnd"/>
            <w:r>
              <w:rPr>
                <w:sz w:val="18"/>
                <w:szCs w:val="18"/>
              </w:rPr>
              <w:t xml:space="preserve"> training proposals</w:t>
            </w:r>
          </w:p>
        </w:tc>
      </w:tr>
      <w:tr w:rsidR="00DB509A" w:rsidTr="00DB509A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HR App Pilot product video</w:t>
            </w:r>
          </w:p>
        </w:tc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MP4, June 2026</w:t>
            </w:r>
          </w:p>
        </w:tc>
        <w:tc>
          <w:tcPr>
            <w:tcW w:w="42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Website and LinkedIn</w:t>
            </w:r>
          </w:p>
        </w:tc>
      </w:tr>
      <w:tr w:rsidR="00DB509A" w:rsidTr="00DB509A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Company video 2026</w:t>
            </w:r>
          </w:p>
        </w:tc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Script, September 2026</w:t>
            </w:r>
          </w:p>
        </w:tc>
        <w:tc>
          <w:tcPr>
            <w:tcW w:w="42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Website, LinkedIn, recruitment</w:t>
            </w:r>
          </w:p>
        </w:tc>
      </w:tr>
      <w:tr w:rsidR="00DB509A" w:rsidTr="00DB509A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LinkedIn and blog content plan, Q2 FY27 (Oct–Dec 2026)</w:t>
            </w:r>
          </w:p>
        </w:tc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XLSX, September 2026</w:t>
            </w:r>
          </w:p>
        </w:tc>
        <w:tc>
          <w:tcPr>
            <w:tcW w:w="42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Default="00DB509A">
            <w:r>
              <w:rPr>
                <w:sz w:val="18"/>
                <w:szCs w:val="18"/>
              </w:rPr>
              <w:t>Internal planning for external posts</w:t>
            </w:r>
          </w:p>
        </w:tc>
      </w:tr>
      <w:tr w:rsidR="00DB509A" w:rsidTr="00964F81">
        <w:tblPrEx>
          <w:tblCellMar>
            <w:top w:w="0" w:type="dxa"/>
            <w:bottom w:w="0" w:type="dxa"/>
          </w:tblCellMar>
        </w:tblPrEx>
        <w:tc>
          <w:tcPr>
            <w:tcW w:w="9512" w:type="dxa"/>
            <w:gridSpan w:val="3"/>
            <w:shd w:val="clear" w:color="auto" w:fill="EDEDED" w:themeFill="accent3" w:themeFillTint="3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B509A" w:rsidRPr="00DB509A" w:rsidRDefault="00DB509A">
            <w:pPr>
              <w:rPr>
                <w:b/>
                <w:i/>
                <w:sz w:val="18"/>
                <w:szCs w:val="18"/>
              </w:rPr>
            </w:pPr>
            <w:r w:rsidRPr="00DB509A">
              <w:rPr>
                <w:b/>
                <w:i/>
                <w:sz w:val="18"/>
                <w:szCs w:val="18"/>
              </w:rPr>
              <w:t xml:space="preserve">Link to all slides and decks: </w:t>
            </w:r>
            <w:hyperlink r:id="rId7" w:history="1">
              <w:r>
                <w:rPr>
                  <w:rStyle w:val="Hyperlink"/>
                </w:rPr>
                <w:t>Decks.pptx</w:t>
              </w:r>
            </w:hyperlink>
          </w:p>
        </w:tc>
      </w:tr>
    </w:tbl>
    <w:p w:rsidR="003805D3" w:rsidRDefault="001E4BBE">
      <w:pPr>
        <w:pStyle w:val="Heading1"/>
        <w:keepNext/>
        <w:spacing w:before="360" w:after="160"/>
      </w:pPr>
      <w:r>
        <w:rPr>
          <w:b/>
          <w:bCs/>
          <w:color w:val="1F2A44"/>
          <w:sz w:val="30"/>
          <w:szCs w:val="30"/>
        </w:rPr>
        <w:t>5. AI-related services and products represented externally</w:t>
      </w:r>
    </w:p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>5.1 AI services</w:t>
      </w:r>
    </w:p>
    <w:p w:rsidR="003805D3" w:rsidRDefault="001E4BBE">
      <w:pPr>
        <w:spacing w:after="120"/>
      </w:pPr>
      <w:r>
        <w:t xml:space="preserve">Offered under </w:t>
      </w:r>
      <w:proofErr w:type="spellStart"/>
      <w:r>
        <w:t>xTend</w:t>
      </w:r>
      <w:proofErr w:type="spellEnd"/>
      <w:r>
        <w:t xml:space="preserve"> and </w:t>
      </w:r>
      <w:proofErr w:type="spellStart"/>
      <w:r>
        <w:t>xSecurity</w:t>
      </w:r>
      <w:proofErr w:type="spellEnd"/>
      <w:r>
        <w:t xml:space="preserve"> (Section 2): AI consulting and strategy, generative AI, large language models, AI agents, machine learning, computer vision, predictive analytics, conversational AI, </w:t>
      </w:r>
      <w:proofErr w:type="spellStart"/>
      <w:r>
        <w:t>MLOps</w:t>
      </w:r>
      <w:proofErr w:type="spellEnd"/>
      <w:r>
        <w:t xml:space="preserve">, AI red teaming, AI security audit and AI SOC. The corporate and AI decks show an 11-stage multi-agent reference architecture built on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, Anthropic, Pinecone, Chroma, </w:t>
      </w:r>
      <w:proofErr w:type="spellStart"/>
      <w:r>
        <w:t>FastAPI</w:t>
      </w:r>
      <w:proofErr w:type="spellEnd"/>
      <w:r>
        <w:t xml:space="preserve"> and Kubernetes.</w:t>
      </w:r>
    </w:p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>5.2 AI products and solutions (</w:t>
      </w:r>
      <w:proofErr w:type="spellStart"/>
      <w:r>
        <w:rPr>
          <w:b/>
          <w:bCs/>
          <w:color w:val="1F2A44"/>
          <w:sz w:val="24"/>
          <w:szCs w:val="24"/>
        </w:rPr>
        <w:t>xLab</w:t>
      </w:r>
      <w:proofErr w:type="spellEnd"/>
      <w:r>
        <w:rPr>
          <w:b/>
          <w:bCs/>
          <w:color w:val="1F2A44"/>
          <w:sz w:val="24"/>
          <w:szCs w:val="24"/>
        </w:rPr>
        <w:t>)</w:t>
      </w:r>
    </w:p>
    <w:tbl>
      <w:tblPr>
        <w:tblW w:w="6425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4819"/>
      </w:tblGrid>
      <w:tr w:rsidR="00964F81" w:rsidTr="00964F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4819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b/>
                <w:bCs/>
                <w:sz w:val="18"/>
                <w:szCs w:val="18"/>
              </w:rPr>
              <w:t>What is claimed publicly</w:t>
            </w:r>
          </w:p>
        </w:tc>
      </w:tr>
      <w:tr w:rsidR="00964F81" w:rsidTr="00964F8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proofErr w:type="spellStart"/>
            <w:r>
              <w:rPr>
                <w:sz w:val="18"/>
                <w:szCs w:val="18"/>
              </w:rPr>
              <w:t>xVision</w:t>
            </w:r>
            <w:proofErr w:type="spellEnd"/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Computer vision platform that turns CCTV and visual data into operational insight (banks, retail, manufacturing, healthcare, government)</w:t>
            </w:r>
          </w:p>
        </w:tc>
      </w:tr>
      <w:tr w:rsidR="00964F81" w:rsidTr="00964F8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Chat Genie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Conversational AI / chatbot product</w:t>
            </w:r>
          </w:p>
        </w:tc>
      </w:tr>
      <w:tr w:rsidR="00964F81" w:rsidTr="00964F8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HR App Pilot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AI assistant for HR processes</w:t>
            </w:r>
          </w:p>
        </w:tc>
      </w:tr>
      <w:tr w:rsidR="00964F81" w:rsidTr="00964F8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App Pilot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LLM assistant that reads 40+ page fund reports, delivered for Alfalah Investments</w:t>
            </w:r>
          </w:p>
        </w:tc>
      </w:tr>
      <w:tr w:rsidR="00964F81" w:rsidTr="00964F8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proofErr w:type="spellStart"/>
            <w:r>
              <w:rPr>
                <w:sz w:val="18"/>
                <w:szCs w:val="18"/>
              </w:rPr>
              <w:lastRenderedPageBreak/>
              <w:t>xServe</w:t>
            </w:r>
            <w:proofErr w:type="spellEnd"/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AI ordering / service automation; deployed for a Saudi Arabian fast-food chain</w:t>
            </w:r>
          </w:p>
        </w:tc>
      </w:tr>
      <w:tr w:rsidR="00964F81" w:rsidTr="00964F8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proofErr w:type="spellStart"/>
            <w:r>
              <w:rPr>
                <w:sz w:val="18"/>
                <w:szCs w:val="18"/>
              </w:rPr>
              <w:t>xCrowdIQ</w:t>
            </w:r>
            <w:proofErr w:type="spellEnd"/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Crowd analytics for venues and public spaces</w:t>
            </w:r>
          </w:p>
        </w:tc>
      </w:tr>
      <w:tr w:rsidR="00964F81" w:rsidTr="00964F8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proofErr w:type="spellStart"/>
            <w:r>
              <w:rPr>
                <w:sz w:val="18"/>
                <w:szCs w:val="18"/>
              </w:rPr>
              <w:t>xVoltIQ</w:t>
            </w:r>
            <w:proofErr w:type="spellEnd"/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Energy monitoring and disaggregation</w:t>
            </w:r>
          </w:p>
        </w:tc>
      </w:tr>
      <w:tr w:rsidR="00964F81" w:rsidTr="00964F8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Meta Human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4F81" w:rsidRDefault="00964F81">
            <w:r>
              <w:rPr>
                <w:sz w:val="18"/>
                <w:szCs w:val="18"/>
              </w:rPr>
              <w:t>AI avatar for customer and citizen interaction</w:t>
            </w:r>
          </w:p>
        </w:tc>
      </w:tr>
    </w:tbl>
    <w:p w:rsidR="003805D3" w:rsidRDefault="001E4BBE">
      <w:pPr>
        <w:pStyle w:val="Heading2"/>
        <w:keepNext/>
        <w:spacing w:before="240" w:after="120"/>
      </w:pPr>
      <w:r>
        <w:rPr>
          <w:b/>
          <w:bCs/>
          <w:color w:val="1F2A44"/>
          <w:sz w:val="24"/>
          <w:szCs w:val="24"/>
        </w:rPr>
        <w:t>5.3 AI-related statements and credentials</w:t>
      </w:r>
    </w:p>
    <w:p w:rsidR="003805D3" w:rsidRDefault="001E4BBE">
      <w:pPr>
        <w:pStyle w:val="ListParagraph"/>
        <w:numPr>
          <w:ilvl w:val="0"/>
          <w:numId w:val="2"/>
        </w:numPr>
        <w:spacing w:after="60"/>
      </w:pPr>
      <w:r>
        <w:t xml:space="preserve">“Certified ISO 27001 and ISO 42001 Lead Auditors”: an individual-level certification held by team members. </w:t>
      </w:r>
    </w:p>
    <w:p w:rsidR="003805D3" w:rsidRDefault="001E4BBE">
      <w:pPr>
        <w:pStyle w:val="ListParagraph"/>
        <w:numPr>
          <w:ilvl w:val="0"/>
          <w:numId w:val="2"/>
        </w:numPr>
        <w:spacing w:after="60"/>
      </w:pPr>
      <w:r>
        <w:t xml:space="preserve">The AI Security page says </w:t>
      </w:r>
      <w:proofErr w:type="spellStart"/>
      <w:r>
        <w:t>xLoop</w:t>
      </w:r>
      <w:proofErr w:type="spellEnd"/>
      <w:r>
        <w:t xml:space="preserve"> helps clients produce documentation “to support frameworks like ISO 42001, NIST AI RMF, and emerging AI regulations”.</w:t>
      </w:r>
    </w:p>
    <w:p w:rsidR="003805D3" w:rsidRDefault="001E4BBE">
      <w:pPr>
        <w:pStyle w:val="ListParagraph"/>
        <w:numPr>
          <w:ilvl w:val="0"/>
          <w:numId w:val="2"/>
        </w:numPr>
        <w:spacing w:after="60"/>
      </w:pPr>
      <w:r>
        <w:t>For the upcoming Legacy System Modernization page (approved wording): engineers use AI coding assistants on modernization work, and every AI-assisted change is reviewed and tested by an engineer. The page will not imply any partnership with AI tool vendors.</w:t>
      </w:r>
    </w:p>
    <w:p w:rsidR="003805D3" w:rsidRDefault="001E4BBE">
      <w:pPr>
        <w:pStyle w:val="ListParagraph"/>
        <w:numPr>
          <w:ilvl w:val="0"/>
          <w:numId w:val="2"/>
        </w:numPr>
        <w:spacing w:after="60"/>
      </w:pPr>
      <w:r>
        <w:t>The Marketing department uses generative AI tools to help draft content. Written rules apply: no client-confidential or personal data goes to external AI services, confidential material is processed on a local model only, and all output is reviewed by a person before publication.</w:t>
      </w:r>
    </w:p>
    <w:p w:rsidR="003805D3" w:rsidRDefault="001E4BBE" w:rsidP="00964F81">
      <w:pPr>
        <w:pStyle w:val="Heading1"/>
        <w:keepNext/>
        <w:spacing w:before="360" w:after="160"/>
      </w:pPr>
      <w:r>
        <w:rPr>
          <w:b/>
          <w:bCs/>
          <w:color w:val="1F2A44"/>
          <w:sz w:val="30"/>
          <w:szCs w:val="30"/>
        </w:rPr>
        <w:t>6. Customer-facing statements on information security, privacy and data protection</w:t>
      </w:r>
    </w:p>
    <w:tbl>
      <w:tblPr>
        <w:tblW w:w="9638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4489"/>
        <w:gridCol w:w="3169"/>
      </w:tblGrid>
      <w:tr w:rsidR="003805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Where</w:t>
            </w:r>
          </w:p>
        </w:tc>
        <w:tc>
          <w:tcPr>
            <w:tcW w:w="4489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Statement (quoted or summarized)</w:t>
            </w:r>
          </w:p>
        </w:tc>
        <w:tc>
          <w:tcPr>
            <w:tcW w:w="3169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Observation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Privacy Policy</w:t>
            </w:r>
          </w:p>
          <w:p w:rsidR="003805D3" w:rsidRDefault="001E4BBE">
            <w:r>
              <w:rPr>
                <w:sz w:val="18"/>
                <w:szCs w:val="18"/>
              </w:rPr>
              <w:t>(updated 1 May 2024)</w:t>
            </w:r>
          </w:p>
        </w:tc>
        <w:tc>
          <w:tcPr>
            <w:tcW w:w="44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“We comply with GDPR, CCPA, and global data protection regulations.” Also: collection of name, email and phone via forms; server logs; cookies; Google Analytics; “administrative, technical, and physical security measures”; retention “for as long as necessary”; sharing with service providers and, with consent, for marketing</w:t>
            </w:r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Over 2 years old. Refers to account creation and a newsletter. The “Contacting Us” section gives no contact details. Compliance claim is not backed by a consent mechanism. 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Terms &amp; Conditions</w:t>
            </w:r>
          </w:p>
          <w:p w:rsidR="003805D3" w:rsidRDefault="001E4BBE">
            <w:r>
              <w:rPr>
                <w:sz w:val="18"/>
                <w:szCs w:val="18"/>
              </w:rPr>
              <w:t>(updated 1 May 2024)</w:t>
            </w:r>
          </w:p>
        </w:tc>
        <w:tc>
          <w:tcPr>
            <w:tcW w:w="44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“</w:t>
            </w:r>
            <w:proofErr w:type="spellStart"/>
            <w:r>
              <w:rPr>
                <w:sz w:val="18"/>
                <w:szCs w:val="18"/>
              </w:rPr>
              <w:t>xLoop</w:t>
            </w:r>
            <w:proofErr w:type="spellEnd"/>
            <w:r>
              <w:rPr>
                <w:sz w:val="18"/>
                <w:szCs w:val="18"/>
              </w:rPr>
              <w:t xml:space="preserve"> is committed to protecting the privacy and security of your data… We comply with international data protection regulations, including GDPR for clients in the European Union.”</w:t>
            </w:r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Same review needed as the Privacy Policy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NEPRA page</w:t>
            </w:r>
          </w:p>
        </w:tc>
        <w:tc>
          <w:tcPr>
            <w:tcW w:w="44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“</w:t>
            </w:r>
            <w:proofErr w:type="spellStart"/>
            <w:r>
              <w:rPr>
                <w:sz w:val="18"/>
                <w:szCs w:val="18"/>
              </w:rPr>
              <w:t>xLoop</w:t>
            </w:r>
            <w:proofErr w:type="spellEnd"/>
            <w:r>
              <w:rPr>
                <w:sz w:val="18"/>
                <w:szCs w:val="18"/>
              </w:rPr>
              <w:t xml:space="preserve"> Digital's NEPRA audits are led by certified ISO 27001 and ISO 42001 Lead Auditors”; delivered a full IT/OT compliance audit for a 30 MW wind IPP (ACT Wind, anonymized on the page); OT is assessed passively and “No plant downtime is required”; “inside a digital engineering firm operating across eight countries”</w:t>
            </w:r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Credential is individual-level (correct). 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Cyber Security page</w:t>
            </w:r>
          </w:p>
        </w:tc>
        <w:tc>
          <w:tcPr>
            <w:tcW w:w="44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Reporting with “compliance mapping to frameworks like ISO 27001, NIST CSF, and SOC 2”; “our teams comprise of internationally certified engineers”</w:t>
            </w:r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Service description, not a claim of </w:t>
            </w:r>
            <w:proofErr w:type="spellStart"/>
            <w:r>
              <w:rPr>
                <w:sz w:val="18"/>
                <w:szCs w:val="18"/>
              </w:rPr>
              <w:t>xLoop's</w:t>
            </w:r>
            <w:proofErr w:type="spellEnd"/>
            <w:r>
              <w:rPr>
                <w:sz w:val="18"/>
                <w:szCs w:val="18"/>
              </w:rPr>
              <w:t xml:space="preserve"> own certification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AI Security page</w:t>
            </w:r>
          </w:p>
        </w:tc>
        <w:tc>
          <w:tcPr>
            <w:tcW w:w="44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Data privacy enforced “through PII/PHI redaction, encryption, and policy-driven governance”; support for ISO 42001 and NIST AI RMF</w:t>
            </w:r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Service description. Industry statistics on the page have no cited source</w:t>
            </w:r>
            <w:r w:rsidR="00964F81">
              <w:rPr>
                <w:sz w:val="18"/>
                <w:szCs w:val="18"/>
              </w:rPr>
              <w:t xml:space="preserve">. 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AI Consultancy page</w:t>
            </w:r>
          </w:p>
        </w:tc>
        <w:tc>
          <w:tcPr>
            <w:tcW w:w="44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“robust data security measures”; “scalable and secure AI applications”</w:t>
            </w:r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General statement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Case studies (anonymized in public material)</w:t>
            </w:r>
          </w:p>
        </w:tc>
        <w:tc>
          <w:tcPr>
            <w:tcW w:w="44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VAPT across 200+ domains for a healthcare platform, 25% of findings high-risk, PII exposure remediated; secured mobile banking apps toward PCI-DSS and State Bank compliance</w:t>
            </w:r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Approved, anonymized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NEPRA letter (printed)</w:t>
            </w:r>
          </w:p>
        </w:tc>
        <w:tc>
          <w:tcPr>
            <w:tcW w:w="44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NEPRA IT/OT Regulations 2022 obligations; 72-hour incident reporting</w:t>
            </w:r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3805D3" w:rsidP="00964F81">
            <w:pPr>
              <w:pStyle w:val="ListParagraph"/>
              <w:numPr>
                <w:ilvl w:val="0"/>
                <w:numId w:val="3"/>
              </w:numPr>
            </w:pPr>
          </w:p>
        </w:tc>
      </w:tr>
    </w:tbl>
    <w:p w:rsidR="003805D3" w:rsidRDefault="001E4BBE">
      <w:pPr>
        <w:spacing w:after="120"/>
      </w:pPr>
      <w:r>
        <w:rPr>
          <w:b/>
          <w:bCs/>
        </w:rPr>
        <w:lastRenderedPageBreak/>
        <w:t xml:space="preserve">What is not claimed: </w:t>
      </w:r>
      <w:r>
        <w:t xml:space="preserve">no website page, deck or letter states that </w:t>
      </w:r>
      <w:proofErr w:type="spellStart"/>
      <w:r>
        <w:t>xLoop</w:t>
      </w:r>
      <w:proofErr w:type="spellEnd"/>
      <w:r>
        <w:t xml:space="preserve"> is ISO 27001 certified. This is a written rule in the approved claims register and will stay in place until certification is granted.</w:t>
      </w:r>
    </w:p>
    <w:p w:rsidR="003805D3" w:rsidRDefault="001E4BBE">
      <w:pPr>
        <w:pStyle w:val="Heading1"/>
        <w:keepNext/>
        <w:spacing w:before="360" w:after="160"/>
      </w:pPr>
      <w:r>
        <w:rPr>
          <w:b/>
          <w:bCs/>
          <w:color w:val="1F2A44"/>
          <w:sz w:val="30"/>
          <w:szCs w:val="30"/>
        </w:rPr>
        <w:t>7. External stakeholders and interested parties</w:t>
      </w:r>
    </w:p>
    <w:p w:rsidR="003805D3" w:rsidRDefault="001E4BBE">
      <w:pPr>
        <w:spacing w:after="120"/>
      </w:pPr>
      <w:r>
        <w:t>Parties the Marketing department communicates with or represents publicly, and what each expects on information security.</w:t>
      </w:r>
    </w:p>
    <w:tbl>
      <w:tblPr>
        <w:tblW w:w="9638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598"/>
        <w:gridCol w:w="2313"/>
        <w:gridCol w:w="1799"/>
      </w:tblGrid>
      <w:tr w:rsidR="003805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Interested party</w:t>
            </w:r>
          </w:p>
        </w:tc>
        <w:tc>
          <w:tcPr>
            <w:tcW w:w="3598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Examples</w:t>
            </w:r>
          </w:p>
        </w:tc>
        <w:tc>
          <w:tcPr>
            <w:tcW w:w="2313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Relevant expectation</w:t>
            </w:r>
          </w:p>
        </w:tc>
        <w:tc>
          <w:tcPr>
            <w:tcW w:w="1799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Marketing touchpoint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Clients</w:t>
            </w:r>
          </w:p>
        </w:tc>
        <w:tc>
          <w:tcPr>
            <w:tcW w:w="35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Named publicly: Alfalah Investments, HBL Asset Management, </w:t>
            </w:r>
            <w:proofErr w:type="spellStart"/>
            <w:r>
              <w:rPr>
                <w:sz w:val="18"/>
                <w:szCs w:val="18"/>
              </w:rPr>
              <w:t>Beythak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Eatsy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Pick</w:t>
            </w:r>
            <w:proofErr w:type="gramEnd"/>
            <w:r>
              <w:rPr>
                <w:sz w:val="18"/>
                <w:szCs w:val="18"/>
              </w:rPr>
              <w:t xml:space="preserve"> n Pay, </w:t>
            </w:r>
            <w:proofErr w:type="spellStart"/>
            <w:r>
              <w:rPr>
                <w:sz w:val="18"/>
                <w:szCs w:val="18"/>
              </w:rPr>
              <w:t>Serefin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Skillforte</w:t>
            </w:r>
            <w:proofErr w:type="spellEnd"/>
            <w:r>
              <w:rPr>
                <w:sz w:val="18"/>
                <w:szCs w:val="18"/>
              </w:rPr>
              <w:t xml:space="preserve">, Cloud Titans, </w:t>
            </w:r>
            <w:proofErr w:type="spellStart"/>
            <w:r>
              <w:rPr>
                <w:sz w:val="18"/>
                <w:szCs w:val="18"/>
              </w:rPr>
              <w:t>Abhi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Govfinder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Octostar</w:t>
            </w:r>
            <w:proofErr w:type="spellEnd"/>
            <w:r>
              <w:rPr>
                <w:sz w:val="18"/>
                <w:szCs w:val="18"/>
              </w:rPr>
              <w:t xml:space="preserve"> and others on the website logo wall.</w:t>
            </w:r>
          </w:p>
          <w:p w:rsidR="003805D3" w:rsidRDefault="001E4BBE">
            <w:r>
              <w:rPr>
                <w:sz w:val="18"/>
                <w:szCs w:val="18"/>
              </w:rPr>
              <w:t xml:space="preserve">Referenced only in anonymized form in public material: SS&amp;C (RPG and COBOL-to-Java modernization), IRD Global (national immunization platform), ACT Wind (NEPRA IT/OT audit), Changes on the Fly (AWS migration), Majid Al Futtaim (AWS-to-Azure migration plan, with Microsoft), </w:t>
            </w:r>
            <w:proofErr w:type="spellStart"/>
            <w:r>
              <w:rPr>
                <w:sz w:val="18"/>
                <w:szCs w:val="18"/>
              </w:rPr>
              <w:t>Wefi</w:t>
            </w:r>
            <w:proofErr w:type="spellEnd"/>
            <w:r>
              <w:rPr>
                <w:sz w:val="18"/>
                <w:szCs w:val="18"/>
              </w:rPr>
              <w:t xml:space="preserve"> Tech (Snowflake advisory), </w:t>
            </w:r>
            <w:proofErr w:type="spellStart"/>
            <w:r>
              <w:rPr>
                <w:sz w:val="18"/>
                <w:szCs w:val="18"/>
              </w:rPr>
              <w:t>Kayali</w:t>
            </w:r>
            <w:proofErr w:type="spellEnd"/>
            <w:r>
              <w:rPr>
                <w:sz w:val="18"/>
                <w:szCs w:val="18"/>
              </w:rPr>
              <w:t xml:space="preserve"> (resource augmentation)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Confidentiality of their data and of the engagement; naming only with permission</w:t>
            </w:r>
          </w:p>
        </w:tc>
        <w:tc>
          <w:tcPr>
            <w:tcW w:w="17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Case studies, logos, testimonials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Prospects</w:t>
            </w:r>
          </w:p>
        </w:tc>
        <w:tc>
          <w:tcPr>
            <w:tcW w:w="35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Website enquirers; NEPRA-licensed power companies (87 received the advisory letter)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Fair use of their contact data; accurate claims</w:t>
            </w:r>
          </w:p>
        </w:tc>
        <w:tc>
          <w:tcPr>
            <w:tcW w:w="17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Forms, letters, outreach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Technology partners</w:t>
            </w:r>
          </w:p>
        </w:tc>
        <w:tc>
          <w:tcPr>
            <w:tcW w:w="35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AWS, Microsoft, Snowflake, Databricks, Salesforce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Correct use of partner names, logos and partner status</w:t>
            </w:r>
          </w:p>
        </w:tc>
        <w:tc>
          <w:tcPr>
            <w:tcW w:w="17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Website footer, decks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Business and training partners</w:t>
            </w:r>
          </w:p>
        </w:tc>
        <w:tc>
          <w:tcPr>
            <w:tcW w:w="35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Emeritus, Mari Energies, TPL Trakker, </w:t>
            </w:r>
            <w:proofErr w:type="spellStart"/>
            <w:r>
              <w:rPr>
                <w:sz w:val="18"/>
                <w:szCs w:val="18"/>
              </w:rPr>
              <w:t>Sidat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Hyder</w:t>
            </w:r>
            <w:proofErr w:type="spellEnd"/>
            <w:r>
              <w:rPr>
                <w:sz w:val="18"/>
                <w:szCs w:val="18"/>
              </w:rPr>
              <w:t xml:space="preserve"> Morshed Associates, RTW, </w:t>
            </w:r>
            <w:proofErr w:type="spellStart"/>
            <w:r>
              <w:rPr>
                <w:sz w:val="18"/>
                <w:szCs w:val="18"/>
              </w:rPr>
              <w:t>Itiner</w:t>
            </w:r>
            <w:proofErr w:type="spellEnd"/>
            <w:r>
              <w:rPr>
                <w:sz w:val="18"/>
                <w:szCs w:val="18"/>
              </w:rPr>
              <w:t xml:space="preserve"> Digital, </w:t>
            </w:r>
            <w:proofErr w:type="spellStart"/>
            <w:r>
              <w:rPr>
                <w:sz w:val="18"/>
                <w:szCs w:val="18"/>
              </w:rPr>
              <w:t>Optimaze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Bridgers</w:t>
            </w:r>
            <w:proofErr w:type="spellEnd"/>
            <w:r>
              <w:rPr>
                <w:sz w:val="18"/>
                <w:szCs w:val="18"/>
              </w:rPr>
              <w:t>; Kore.ai (partnership discussions; a one-pager was presented to them)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Approval of joint announcements and co-branded material</w:t>
            </w:r>
          </w:p>
        </w:tc>
        <w:tc>
          <w:tcPr>
            <w:tcW w:w="17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Media &amp; Mentions, press releases, one-pagers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Regulators and legal frameworks</w:t>
            </w:r>
          </w:p>
        </w:tc>
        <w:tc>
          <w:tcPr>
            <w:tcW w:w="35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NEPRA and </w:t>
            </w:r>
            <w:proofErr w:type="spellStart"/>
            <w:r>
              <w:rPr>
                <w:sz w:val="18"/>
                <w:szCs w:val="18"/>
              </w:rPr>
              <w:t>PowerCERT</w:t>
            </w:r>
            <w:proofErr w:type="spellEnd"/>
            <w:r>
              <w:rPr>
                <w:sz w:val="18"/>
                <w:szCs w:val="18"/>
              </w:rPr>
              <w:t xml:space="preserve"> (for the NEPRA offering); data protection laws named in the Privacy Policy (GDPR, CCPA); local laws where offices operate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Accurate regulatory statements; lawful processing of personal data</w:t>
            </w:r>
          </w:p>
        </w:tc>
        <w:tc>
          <w:tcPr>
            <w:tcW w:w="17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NEPRA page and letters; Privacy Policy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Website visitors</w:t>
            </w:r>
          </w:p>
        </w:tc>
        <w:tc>
          <w:tcPr>
            <w:tcW w:w="35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Global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Transparent privacy notice and cookie choice</w:t>
            </w:r>
          </w:p>
        </w:tc>
        <w:tc>
          <w:tcPr>
            <w:tcW w:w="17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Website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Training applicants and bootcamp alumni</w:t>
            </w:r>
          </w:p>
        </w:tc>
        <w:tc>
          <w:tcPr>
            <w:tcW w:w="35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proofErr w:type="spellStart"/>
            <w:r>
              <w:rPr>
                <w:sz w:val="18"/>
                <w:szCs w:val="18"/>
              </w:rPr>
              <w:t>xCelerate</w:t>
            </w:r>
            <w:proofErr w:type="spellEnd"/>
            <w:r>
              <w:rPr>
                <w:sz w:val="18"/>
                <w:szCs w:val="18"/>
              </w:rPr>
              <w:t xml:space="preserve"> applicants (e.g. 1,500 applications for one Mari cohort campaign)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Protection of applicant data (held by </w:t>
            </w:r>
            <w:proofErr w:type="spellStart"/>
            <w:r w:rsidR="00964F81">
              <w:rPr>
                <w:sz w:val="18"/>
                <w:szCs w:val="18"/>
              </w:rPr>
              <w:t>xCelerate</w:t>
            </w:r>
            <w:proofErr w:type="spellEnd"/>
            <w:r w:rsidR="00964F81">
              <w:rPr>
                <w:sz w:val="18"/>
                <w:szCs w:val="18"/>
              </w:rPr>
              <w:t xml:space="preserve"> team and HR</w:t>
            </w:r>
            <w:r>
              <w:rPr>
                <w:sz w:val="18"/>
                <w:szCs w:val="18"/>
              </w:rPr>
              <w:t>, not Marketing)</w:t>
            </w:r>
          </w:p>
        </w:tc>
        <w:tc>
          <w:tcPr>
            <w:tcW w:w="17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Campaign landing pag</w:t>
            </w:r>
            <w:bookmarkStart w:id="0" w:name="_GoBack"/>
            <w:bookmarkEnd w:id="0"/>
            <w:r>
              <w:rPr>
                <w:sz w:val="18"/>
                <w:szCs w:val="18"/>
              </w:rPr>
              <w:t>es, social ads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Job candidates and employees</w:t>
            </w:r>
          </w:p>
        </w:tc>
        <w:tc>
          <w:tcPr>
            <w:tcW w:w="35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Careers page, employer brand content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Consent for photos, names and testimonials</w:t>
            </w:r>
          </w:p>
        </w:tc>
        <w:tc>
          <w:tcPr>
            <w:tcW w:w="17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Careers page, LinkedIn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Media</w:t>
            </w:r>
          </w:p>
        </w:tc>
        <w:tc>
          <w:tcPr>
            <w:tcW w:w="35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Business press, PR outlets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Accurate, approved facts</w:t>
            </w:r>
          </w:p>
        </w:tc>
        <w:tc>
          <w:tcPr>
            <w:tcW w:w="17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Press releases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Marketing service providers</w:t>
            </w:r>
          </w:p>
        </w:tc>
        <w:tc>
          <w:tcPr>
            <w:tcW w:w="35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Google (Analytics, Search Console), LinkedIn, Meta (Facebook/Instagram, used for one paid campaign), YouTube, </w:t>
            </w:r>
            <w:proofErr w:type="spellStart"/>
            <w:r>
              <w:rPr>
                <w:sz w:val="18"/>
                <w:szCs w:val="18"/>
              </w:rPr>
              <w:t>Figma</w:t>
            </w:r>
            <w:proofErr w:type="spellEnd"/>
            <w:r>
              <w:rPr>
                <w:sz w:val="18"/>
                <w:szCs w:val="18"/>
              </w:rPr>
              <w:t>, Microsoft 365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Data processed under each provider's terms</w:t>
            </w:r>
          </w:p>
        </w:tc>
        <w:tc>
          <w:tcPr>
            <w:tcW w:w="17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Tools used by Marketing</w:t>
            </w:r>
          </w:p>
        </w:tc>
      </w:tr>
    </w:tbl>
    <w:p w:rsidR="003805D3" w:rsidRDefault="001E4BBE">
      <w:pPr>
        <w:pStyle w:val="Heading1"/>
        <w:keepNext/>
        <w:spacing w:before="360" w:after="160"/>
      </w:pPr>
      <w:r>
        <w:rPr>
          <w:b/>
          <w:bCs/>
          <w:color w:val="1F2A44"/>
          <w:sz w:val="30"/>
          <w:szCs w:val="30"/>
        </w:rPr>
        <w:t>10. Information held by other departments</w:t>
      </w:r>
    </w:p>
    <w:p w:rsidR="003805D3" w:rsidRDefault="001E4BBE">
      <w:pPr>
        <w:spacing w:after="120"/>
      </w:pPr>
      <w:r>
        <w:t>Marketing does not hold the following. They are needed to complete the website picture for the audit:</w:t>
      </w:r>
    </w:p>
    <w:tbl>
      <w:tblPr>
        <w:tblW w:w="9638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25"/>
        <w:gridCol w:w="3213"/>
      </w:tblGrid>
      <w:tr w:rsidR="003805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25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lastRenderedPageBreak/>
              <w:t>Topic</w:t>
            </w:r>
          </w:p>
        </w:tc>
        <w:tc>
          <w:tcPr>
            <w:tcW w:w="3213" w:type="dxa"/>
            <w:shd w:val="clear" w:color="auto" w:fill="E8EC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b/>
                <w:bCs/>
                <w:sz w:val="18"/>
                <w:szCs w:val="18"/>
              </w:rPr>
              <w:t>Likely owner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64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Website hosting provider, domain and DNS ownership, SSL, backups, security patching and access to the website admin and code repository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Production (web development)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64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Legal entity names and registration details per country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Finance / Admin</w:t>
            </w:r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64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Bootcamp and job applicant data handling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 xml:space="preserve">HR / </w:t>
            </w:r>
            <w:proofErr w:type="spellStart"/>
            <w:r>
              <w:rPr>
                <w:sz w:val="18"/>
                <w:szCs w:val="18"/>
              </w:rPr>
              <w:t>xCelerate</w:t>
            </w:r>
            <w:proofErr w:type="spellEnd"/>
          </w:p>
        </w:tc>
      </w:tr>
      <w:tr w:rsidR="003805D3">
        <w:tblPrEx>
          <w:tblCellMar>
            <w:top w:w="0" w:type="dxa"/>
            <w:bottom w:w="0" w:type="dxa"/>
          </w:tblCellMar>
        </w:tblPrEx>
        <w:tc>
          <w:tcPr>
            <w:tcW w:w="64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Client contracts, NDAs and permission to name clients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805D3" w:rsidRDefault="001E4BBE">
            <w:r>
              <w:rPr>
                <w:sz w:val="18"/>
                <w:szCs w:val="18"/>
              </w:rPr>
              <w:t>Sales / Delivery</w:t>
            </w:r>
          </w:p>
        </w:tc>
      </w:tr>
    </w:tbl>
    <w:p w:rsidR="003805D3" w:rsidRDefault="003805D3">
      <w:pPr>
        <w:spacing w:after="120"/>
      </w:pPr>
    </w:p>
    <w:sectPr w:rsidR="003805D3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5AD7" w:rsidRDefault="00DE5AD7">
      <w:r>
        <w:separator/>
      </w:r>
    </w:p>
  </w:endnote>
  <w:endnote w:type="continuationSeparator" w:id="0">
    <w:p w:rsidR="00DE5AD7" w:rsidRDefault="00DE5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BBE" w:rsidRDefault="001E4BBE">
    <w:pPr>
      <w:jc w:val="right"/>
    </w:pPr>
    <w:proofErr w:type="spellStart"/>
    <w:r>
      <w:rPr>
        <w:color w:val="718096"/>
        <w:sz w:val="16"/>
        <w:szCs w:val="16"/>
      </w:rPr>
      <w:t>xLoop</w:t>
    </w:r>
    <w:proofErr w:type="spellEnd"/>
    <w:r>
      <w:rPr>
        <w:color w:val="718096"/>
        <w:sz w:val="16"/>
        <w:szCs w:val="16"/>
      </w:rPr>
      <w:t xml:space="preserve"> • Marketing &amp; Design • ISO 27001 Stage 1 • Internal: Confidential • Page </w:t>
    </w:r>
    <w:r>
      <w:rPr>
        <w:color w:val="718096"/>
        <w:sz w:val="16"/>
        <w:szCs w:val="16"/>
      </w:rPr>
      <w:fldChar w:fldCharType="begin"/>
    </w:r>
    <w:r>
      <w:rPr>
        <w:color w:val="718096"/>
        <w:sz w:val="16"/>
        <w:szCs w:val="16"/>
      </w:rPr>
      <w:instrText>PAGE</w:instrText>
    </w:r>
    <w:r>
      <w:rPr>
        <w:color w:val="718096"/>
        <w:sz w:val="16"/>
        <w:szCs w:val="16"/>
      </w:rPr>
      <w:fldChar w:fldCharType="separate"/>
    </w:r>
    <w:r>
      <w:rPr>
        <w:noProof/>
        <w:color w:val="718096"/>
        <w:sz w:val="16"/>
        <w:szCs w:val="16"/>
      </w:rPr>
      <w:t>1</w:t>
    </w:r>
    <w:r>
      <w:rPr>
        <w:color w:val="7180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5AD7" w:rsidRDefault="00DE5AD7">
      <w:r>
        <w:separator/>
      </w:r>
    </w:p>
  </w:footnote>
  <w:footnote w:type="continuationSeparator" w:id="0">
    <w:p w:rsidR="00DE5AD7" w:rsidRDefault="00DE5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567C5E"/>
    <w:multiLevelType w:val="hybridMultilevel"/>
    <w:tmpl w:val="F42494B6"/>
    <w:lvl w:ilvl="0" w:tplc="7EDE8E02">
      <w:start w:val="1"/>
      <w:numFmt w:val="bullet"/>
      <w:lvlText w:val="•"/>
      <w:lvlJc w:val="left"/>
      <w:pPr>
        <w:ind w:left="360" w:hanging="240"/>
      </w:pPr>
    </w:lvl>
    <w:lvl w:ilvl="1" w:tplc="4846F2C2">
      <w:numFmt w:val="decimal"/>
      <w:lvlText w:val=""/>
      <w:lvlJc w:val="left"/>
    </w:lvl>
    <w:lvl w:ilvl="2" w:tplc="9BBCEA06">
      <w:numFmt w:val="decimal"/>
      <w:lvlText w:val=""/>
      <w:lvlJc w:val="left"/>
    </w:lvl>
    <w:lvl w:ilvl="3" w:tplc="8CEEEB54">
      <w:numFmt w:val="decimal"/>
      <w:lvlText w:val=""/>
      <w:lvlJc w:val="left"/>
    </w:lvl>
    <w:lvl w:ilvl="4" w:tplc="98243BC8">
      <w:numFmt w:val="decimal"/>
      <w:lvlText w:val=""/>
      <w:lvlJc w:val="left"/>
    </w:lvl>
    <w:lvl w:ilvl="5" w:tplc="F0F0EE4C">
      <w:numFmt w:val="decimal"/>
      <w:lvlText w:val=""/>
      <w:lvlJc w:val="left"/>
    </w:lvl>
    <w:lvl w:ilvl="6" w:tplc="9A1251AA">
      <w:numFmt w:val="decimal"/>
      <w:lvlText w:val=""/>
      <w:lvlJc w:val="left"/>
    </w:lvl>
    <w:lvl w:ilvl="7" w:tplc="813EAF66">
      <w:numFmt w:val="decimal"/>
      <w:lvlText w:val=""/>
      <w:lvlJc w:val="left"/>
    </w:lvl>
    <w:lvl w:ilvl="8" w:tplc="788647D0">
      <w:numFmt w:val="decimal"/>
      <w:lvlText w:val=""/>
      <w:lvlJc w:val="left"/>
    </w:lvl>
  </w:abstractNum>
  <w:abstractNum w:abstractNumId="1" w15:restartNumberingAfterBreak="0">
    <w:nsid w:val="688A4A99"/>
    <w:multiLevelType w:val="hybridMultilevel"/>
    <w:tmpl w:val="2C8097EE"/>
    <w:lvl w:ilvl="0" w:tplc="1DB87116" w:tentative="1">
      <w:start w:val="1"/>
      <w:numFmt w:val="bullet"/>
      <w:lvlText w:val="●"/>
      <w:lvlJc w:val="left"/>
      <w:pPr>
        <w:ind w:left="720" w:hanging="360"/>
      </w:pPr>
    </w:lvl>
    <w:lvl w:ilvl="1" w:tplc="BF965CD4" w:tentative="1">
      <w:start w:val="1"/>
      <w:numFmt w:val="bullet"/>
      <w:lvlText w:val="○"/>
      <w:lvlJc w:val="left"/>
      <w:pPr>
        <w:ind w:left="1440" w:hanging="360"/>
      </w:pPr>
    </w:lvl>
    <w:lvl w:ilvl="2" w:tplc="942E34A8" w:tentative="1">
      <w:start w:val="1"/>
      <w:numFmt w:val="bullet"/>
      <w:lvlText w:val="■"/>
      <w:lvlJc w:val="left"/>
      <w:pPr>
        <w:ind w:left="2160" w:hanging="360"/>
      </w:pPr>
    </w:lvl>
    <w:lvl w:ilvl="3" w:tplc="81E0E236" w:tentative="1">
      <w:start w:val="1"/>
      <w:numFmt w:val="bullet"/>
      <w:lvlText w:val="●"/>
      <w:lvlJc w:val="left"/>
      <w:pPr>
        <w:ind w:left="2880" w:hanging="360"/>
      </w:pPr>
    </w:lvl>
    <w:lvl w:ilvl="4" w:tplc="F4E45B02" w:tentative="1">
      <w:start w:val="1"/>
      <w:numFmt w:val="bullet"/>
      <w:lvlText w:val="○"/>
      <w:lvlJc w:val="left"/>
      <w:pPr>
        <w:ind w:left="3600" w:hanging="360"/>
      </w:pPr>
    </w:lvl>
    <w:lvl w:ilvl="5" w:tplc="E3A61420" w:tentative="1">
      <w:start w:val="1"/>
      <w:numFmt w:val="bullet"/>
      <w:lvlText w:val="■"/>
      <w:lvlJc w:val="left"/>
      <w:pPr>
        <w:ind w:left="4320" w:hanging="360"/>
      </w:pPr>
    </w:lvl>
    <w:lvl w:ilvl="6" w:tplc="7DFA8212" w:tentative="1">
      <w:start w:val="1"/>
      <w:numFmt w:val="bullet"/>
      <w:lvlText w:val="●"/>
      <w:lvlJc w:val="left"/>
      <w:pPr>
        <w:ind w:left="5040" w:hanging="360"/>
      </w:pPr>
    </w:lvl>
    <w:lvl w:ilvl="7" w:tplc="7068A4F2" w:tentative="1">
      <w:start w:val="1"/>
      <w:numFmt w:val="bullet"/>
      <w:lvlText w:val="●"/>
      <w:lvlJc w:val="left"/>
      <w:pPr>
        <w:ind w:left="5760" w:hanging="360"/>
      </w:pPr>
    </w:lvl>
    <w:lvl w:ilvl="8" w:tplc="51A800D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DA1356"/>
    <w:multiLevelType w:val="hybridMultilevel"/>
    <w:tmpl w:val="40BE3E42"/>
    <w:lvl w:ilvl="0" w:tplc="7BD40A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5D3"/>
    <w:rsid w:val="001E4BBE"/>
    <w:rsid w:val="003805D3"/>
    <w:rsid w:val="00401735"/>
    <w:rsid w:val="007E5646"/>
    <w:rsid w:val="00964F81"/>
    <w:rsid w:val="00DB509A"/>
    <w:rsid w:val="00DE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203F"/>
  <w15:docId w15:val="{DF89A405-8194-4364-A1A1-405774C9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xloop-my.sharepoint.com/:p:/r/personal/omais_mumtaz_xloopdigital_com/_layouts/15/Doc.aspx?sourcedoc=%7BCE63979A-18F4-4FE7-B26D-32DC094C4D05%7D&amp;file=Decks.pptx&amp;action=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2534</Words>
  <Characters>14450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ISO 27001 Stage 1: Marketing &amp; Design submission</vt:lpstr>
    </vt:vector>
  </TitlesOfParts>
  <Company/>
  <LinksUpToDate>false</LinksUpToDate>
  <CharactersWithSpaces>16951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27001 Stage 1: Marketing &amp; Design submission</dc:title>
  <dc:creator>Sana Qazi</dc:creator>
  <cp:lastModifiedBy>Sana Qazi</cp:lastModifiedBy>
  <cp:revision>3</cp:revision>
  <dcterms:created xsi:type="dcterms:W3CDTF">2026-09-29T06:07:00Z</dcterms:created>
  <dcterms:modified xsi:type="dcterms:W3CDTF">2026-09-29T07:54:00Z</dcterms:modified>
</cp:coreProperties>
</file>