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Legacy System Modernization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 child of /services/digital-transformation</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Launch dependencies in §8</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v1.5 — 18 September 2026. Cloud Titans testimonial replaced with a verbatim line from the signed testimonial (v1.4 used a paraphrase in quotation marks). Supersedes v1.4</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Spelling</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US English throughout. "Legacy System Modernization" is the entity name — identical in title, H1, nav, schema and body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 proof_library.md (Marketing Brain) · delivery input 17 Sept 2026</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§9 lists what must not be published; several sentences on this page are worded precisely to stay inside what xLoop has actually delivered.</w:t>
      </w:r>
    </w:p>
    <w:p>
      <w:r>
        <w:br w:type="page"/>
      </w:r>
    </w:p>
    <w:p>
      <w:pPr>
        <w:pStyle w:val="Heading1"/>
        <w:spacing w:after="160" w:before="360"/>
      </w:pPr>
      <w:r>
        <w:rPr>
          <w:rFonts w:ascii="Calibri" w:cs="Calibri" w:eastAsia="Calibri" w:hAnsi="Calibri"/>
          <w:b/>
          <w:bCs/>
          <w:color w:val="1B1B3A"/>
          <w:sz w:val="32"/>
          <w:szCs w:val="32"/>
        </w:rPr>
        <w:t xml:space="preserve">1. What this page is — and is not</w:t>
      </w:r>
    </w:p>
    <w:p>
      <w:pPr>
        <w:spacing w:after="120" w:before="0"/>
      </w:pPr>
      <w:r>
        <w:rPr>
          <w:rFonts w:ascii="Calibri" w:cs="Calibri" w:eastAsia="Calibri" w:hAnsi="Calibri"/>
          <w:sz w:val="21"/>
          <w:szCs w:val="21"/>
        </w:rPr>
        <w:t xml:space="preserve">This page sells assessment-led modernization of applications, infrastructure and data, with AI-readiness as the reason to act now. It does not sell breadth of legacy technology coverage, and it must not imply it.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competes on</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does not compete on</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two-week discovery that tells buyers what to modernize, what to wrap in an API, and what to leave alone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.NET Framework, Oracle, VB6 or mainframe conversion — not delivered</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AI-assisted code migration with delivered proof: COBOL to Java for a financial services firm, and a national immunization platform brought from Java 8 onto a modern Java release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Breadth of legacy technology coverage</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Making legacy systems reachable by data and AI — the argument no competitor makes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Tenure, analyst rankings or company-level certifications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migration of applications, infrastructure and data onto AWS, private cloud and Snowflake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programs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Candor: what AI can and cannot do in modernization, and which systems should not be touched</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Unsourced percentage outcomes</w:t>
            </w:r>
          </w:p>
        </w:tc>
      </w:tr>
    </w:tbl>
    <w:p>
      <w:pPr>
        <w:spacing w:after="160" w:before="80"/>
      </w:pPr>
      <w:r>
        <w:rPr>
          <w:rFonts w:ascii="Calibri" w:cs="Calibri" w:eastAsia="Calibri" w:hAnsi="Calibri"/>
          <w:b/>
          <w:bCs/>
          <w:color w:val="5A5A6E"/>
          <w:sz w:val="19"/>
          <w:szCs w:val="19"/>
        </w:rPr>
        <w:t xml:space="preserve">Why this matters for leads. </w:t>
      </w:r>
      <w:r>
        <w:rPr>
          <w:rFonts w:ascii="Calibri" w:cs="Calibri" w:eastAsia="Calibri" w:hAnsi="Calibri"/>
          <w:i/>
          <w:iCs/>
          <w:color w:val="5A5A6E"/>
          <w:sz w:val="19"/>
          <w:szCs w:val="19"/>
        </w:rPr>
        <w:t xml:space="preserve">"Legacy system modernization" also attracts large mainframe replacement programs xLoop has not delivered. The page names those as not a fit (§3.11) so those leads self-select out before they reach sales.</w:t>
      </w:r>
    </w:p>
    <w:p>
      <w:pPr>
        <w:pStyle w:val="Heading2"/>
        <w:spacing w:after="140" w:before="300"/>
      </w:pPr>
      <w:r>
        <w:rPr>
          <w:rFonts w:ascii="Calibri" w:cs="Calibri" w:eastAsia="Calibri" w:hAnsi="Calibri"/>
          <w:b/>
          <w:bCs/>
          <w:color w:val="2E5AAC"/>
          <w:sz w:val="26"/>
          <w:szCs w:val="26"/>
        </w:rPr>
        <w:t xml:space="preserve">Who this page is written for</w:t>
      </w:r>
    </w:p>
    <w:p>
      <w:pPr>
        <w:spacing w:after="120" w:before="0"/>
      </w:pPr>
      <w:r>
        <w:rPr>
          <w:rFonts w:ascii="Calibri" w:cs="Calibri" w:eastAsia="Calibri" w:hAnsi="Calibri"/>
          <w:sz w:val="21"/>
          <w:szCs w:val="21"/>
        </w:rPr>
        <w:t xml:space="preserve">Three buyers from xLoop’s ICP research, plus one influencer. Each has different words for the same legacy problem, a different fear, and a different first step. The page speaks to each in their own language and routes each to the offer they are most likely to take.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1700"/>
        <w:gridCol w:w="1860"/>
      </w:tblGrid>
      <w:tr>
        <w:trPr>
          <w:tblHeader/>
        </w:trPr>
        <w:tc>
          <w:tcPr>
            <w:tcW w:type="dxa" w:w="1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w:t>
            </w:r>
          </w:p>
        </w:tc>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say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fear</w:t>
            </w:r>
          </w:p>
        </w:tc>
        <w:tc>
          <w:tcPr>
            <w:tcW w:type="dxa" w:w="1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Served by</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Modernization Owner — Head of Data, CDO, Director of Data Engineering</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"Nobody trusts reports." "Everyone wants AI but our data is fragmented."</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Being blamed when the AI initiative fails on the data layer</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1 · §3.6 · FAQ Q15 · retailer data and utility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Transformation Sponsor — CIO, CTO, CDO, VP Transformation</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 don’t want a failed project attached to my name." "We need quick wins."</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Spending heavily and nothing changing</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2 · §3.5 · FAQ Q6, Q14 · discovery readout</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Tertiary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Product &amp; Platform Builder — CTO, VP Engineering, Head of Platform</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"We’re moving too slowly." "Roadmap commitments are at risk."</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Missing the date</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3 · §3.8 · FAQ Q8, Q9 · COBOL-to-Java and Java 8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Influencer</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 Champion — CISO, Head of Risk</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Unsupported systems that can’t be patched</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Being the incident</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§3.3 sign 5 · FAQ Q11 · link to AI Security</w:t>
            </w:r>
          </w:p>
        </w:tc>
      </w:tr>
    </w:tbl>
    <w:p>
      <w:pPr>
        <w:spacing w:after="160" w:before="80"/>
      </w:pPr>
      <w:r>
        <w:rPr>
          <w:rFonts w:ascii="Calibri" w:cs="Calibri" w:eastAsia="Calibri" w:hAnsi="Calibri"/>
          <w:b/>
          <w:bCs/>
          <w:color w:val="5A5A6E"/>
          <w:sz w:val="19"/>
          <w:szCs w:val="19"/>
        </w:rPr>
        <w:t xml:space="preserve">Why role routing matters for lead generation. </w:t>
      </w:r>
      <w:r>
        <w:rPr>
          <w:rFonts w:ascii="Calibri" w:cs="Calibri" w:eastAsia="Calibri" w:hAnsi="Calibri"/>
          <w:i/>
          <w:iCs/>
          <w:color w:val="5A5A6E"/>
          <w:sz w:val="19"/>
          <w:szCs w:val="19"/>
        </w:rPr>
        <w:t xml:space="preserve">A single generic "contact us" converts only the buyer who is already sure. Role cards let each buyer see their own problem first, and tag the lead with a role before sales ever sees it.</w:t>
      </w:r>
    </w:p>
    <w:p>
      <w:pPr>
        <w:pStyle w:val="Heading2"/>
        <w:spacing w:after="140" w:before="300"/>
      </w:pPr>
      <w:r>
        <w:rPr>
          <w:rFonts w:ascii="Calibri" w:cs="Calibri" w:eastAsia="Calibri" w:hAnsi="Calibri"/>
          <w:b/>
          <w:bCs/>
          <w:color w:val="2E5AAC"/>
          <w:sz w:val="26"/>
          <w:szCs w:val="26"/>
        </w:rPr>
        <w:t xml:space="preserve">Sequencing</w:t>
      </w:r>
    </w:p>
    <w:p>
      <w:pPr>
        <w:pStyle w:val="ListParagraph"/>
        <w:numPr>
          <w:ilvl w:val="0"/>
          <w:numId w:val="2"/>
        </w:numPr>
        <w:spacing w:after="80"/>
      </w:pPr>
      <w:r>
        <w:rPr>
          <w:rFonts w:ascii="Calibri" w:cs="Calibri" w:eastAsia="Calibri" w:hAnsi="Calibri"/>
          <w:sz w:val="21"/>
          <w:szCs w:val="21"/>
        </w:rPr>
        <w:t xml:space="preserve">This page must be live before /services/digital-transformation links to it.</w:t>
      </w:r>
    </w:p>
    <w:p>
      <w:pPr>
        <w:pStyle w:val="ListParagraph"/>
        <w:numPr>
          <w:ilvl w:val="0"/>
          <w:numId w:val="2"/>
        </w:numPr>
        <w:spacing w:after="80"/>
      </w:pPr>
      <w:r>
        <w:rPr>
          <w:rFonts w:ascii="Calibri" w:cs="Calibri" w:eastAsia="Calibri" w:hAnsi="Calibri"/>
          <w:sz w:val="21"/>
          <w:szCs w:val="21"/>
        </w:rPr>
        <w:t xml:space="preserve">The Digital Transformation hub spec (v2.3) already carries a Legacy System Modernization card and FAQ that point here.</w:t>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44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applications, databases and infrastructure in phases, starting with a two-week discovery. For data, technology and engineering leaders.</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for Data, Cloud and AI</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H1 only · 50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server-rendered — outline in §7</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Built for search engines, AI answer engines and AI agents</w:t>
      </w:r>
    </w:p>
    <w:p>
      <w:pPr>
        <w:spacing w:after="120" w:before="0"/>
      </w:pPr>
      <w:r>
        <w:rPr>
          <w:rFonts w:ascii="Calibri" w:cs="Calibri" w:eastAsia="Calibri" w:hAnsi="Calibri"/>
          <w:sz w:val="21"/>
          <w:szCs w:val="21"/>
        </w:rPr>
        <w:t xml:space="preserve">AI agents increasingly research, shortlist and contact vendors on a buyer’s behalf. They need facts they can extract and forms they can read.</w:t>
      </w:r>
    </w:p>
    <w:p>
      <w:pPr>
        <w:pStyle w:val="ListParagraph"/>
        <w:numPr>
          <w:ilvl w:val="0"/>
          <w:numId w:val="2"/>
        </w:numPr>
        <w:spacing w:after="80"/>
      </w:pPr>
      <w:r>
        <w:rPr>
          <w:rFonts w:ascii="Calibri" w:cs="Calibri" w:eastAsia="Calibri" w:hAnsi="Calibri"/>
          <w:sz w:val="21"/>
          <w:szCs w:val="21"/>
        </w:rPr>
        <w:t xml:space="preserve">Server-render everything — FAQ answers, all tables, all case cards. Nothing injected on click.</w:t>
      </w:r>
    </w:p>
    <w:p>
      <w:pPr>
        <w:pStyle w:val="ListParagraph"/>
        <w:numPr>
          <w:ilvl w:val="0"/>
          <w:numId w:val="2"/>
        </w:numPr>
        <w:spacing w:after="80"/>
      </w:pPr>
      <w:r>
        <w:rPr>
          <w:rFonts w:ascii="Calibri" w:cs="Calibri" w:eastAsia="Calibri" w:hAnsi="Calibri"/>
          <w:sz w:val="21"/>
          <w:szCs w:val="21"/>
        </w:rPr>
        <w:t xml:space="preserve">Every table on this page is a real HTML &lt;table&gt;. None as images or infographics.</w:t>
      </w:r>
    </w:p>
    <w:p>
      <w:pPr>
        <w:pStyle w:val="ListParagraph"/>
        <w:numPr>
          <w:ilvl w:val="0"/>
          <w:numId w:val="2"/>
        </w:numPr>
        <w:spacing w:after="80"/>
      </w:pPr>
      <w:r>
        <w:rPr>
          <w:rFonts w:ascii="Calibri" w:cs="Calibri" w:eastAsia="Calibri" w:hAnsi="Calibri"/>
          <w:sz w:val="21"/>
          <w:szCs w:val="21"/>
        </w:rPr>
        <w:t xml:space="preserve">Stable anchor IDs on every section, as listed in §3 (e.g. #approaches, #at-a-glance, #faq).</w:t>
      </w:r>
    </w:p>
    <w:p>
      <w:pPr>
        <w:pStyle w:val="ListParagraph"/>
        <w:numPr>
          <w:ilvl w:val="0"/>
          <w:numId w:val="2"/>
        </w:numPr>
        <w:spacing w:after="80"/>
      </w:pPr>
      <w:r>
        <w:rPr>
          <w:rFonts w:ascii="Calibri" w:cs="Calibri" w:eastAsia="Calibri" w:hAnsi="Calibri"/>
          <w:sz w:val="21"/>
          <w:szCs w:val="21"/>
        </w:rPr>
        <w:t xml:space="preserve">Forms: a real &lt;label&gt; on every field, plain-text dropdown options, and the form must submit without client-side JavaScript.</w:t>
      </w:r>
    </w:p>
    <w:p>
      <w:pPr>
        <w:pStyle w:val="ListParagraph"/>
        <w:numPr>
          <w:ilvl w:val="0"/>
          <w:numId w:val="2"/>
        </w:numPr>
        <w:spacing w:after="80"/>
      </w:pPr>
      <w:r>
        <w:rPr>
          <w:rFonts w:ascii="Calibri" w:cs="Calibri" w:eastAsia="Calibri" w:hAnsi="Calibri"/>
          <w:sz w:val="21"/>
          <w:szCs w:val="21"/>
        </w:rPr>
        <w:t xml:space="preserve">Partner names as visible HTML text, not only logos.</w:t>
      </w:r>
    </w:p>
    <w:p>
      <w:pPr>
        <w:pStyle w:val="ListParagraph"/>
        <w:numPr>
          <w:ilvl w:val="0"/>
          <w:numId w:val="2"/>
        </w:numPr>
        <w:spacing w:after="80"/>
      </w:pPr>
      <w:r>
        <w:rPr>
          <w:rFonts w:ascii="Calibri" w:cs="Calibri" w:eastAsia="Calibri" w:hAnsi="Calibri"/>
          <w:sz w:val="21"/>
          <w:szCs w:val="21"/>
        </w:rPr>
        <w:t xml:space="preserve">Add llms.txt at the site root, listing core service pages with a one-line description each.</w:t>
      </w:r>
    </w:p>
    <w:p>
      <w:pPr>
        <w:pStyle w:val="ListParagraph"/>
        <w:numPr>
          <w:ilvl w:val="0"/>
          <w:numId w:val="2"/>
        </w:numPr>
        <w:spacing w:after="80"/>
      </w:pPr>
      <w:r>
        <w:rPr>
          <w:rFonts w:ascii="Calibri" w:cs="Calibri" w:eastAsia="Calibri" w:hAnsi="Calibri"/>
          <w:sz w:val="21"/>
          <w:szCs w:val="21"/>
        </w:rPr>
        <w:t xml:space="preserve">One H1; one H2 per section; no skipped heading levels.</w:t>
      </w:r>
    </w:p>
    <w:p>
      <w:pPr>
        <w:pStyle w:val="ListParagraph"/>
        <w:numPr>
          <w:ilvl w:val="0"/>
          <w:numId w:val="2"/>
        </w:numPr>
        <w:spacing w:after="80"/>
      </w:pPr>
      <w:r>
        <w:rPr>
          <w:rFonts w:ascii="Calibri" w:cs="Calibri" w:eastAsia="Calibri" w:hAnsi="Calibri"/>
          <w:sz w:val="21"/>
          <w:szCs w:val="21"/>
        </w:rPr>
        <w:t xml:space="preserve">Fix the sitewide doubled title suffix ("| xLoop Digital | xLoop Digital") before launch.</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Anchor IDs are given in each heading.</w:t>
      </w:r>
    </w:p>
    <w:p>
      <w:pPr>
        <w:pStyle w:val="Heading2"/>
        <w:spacing w:after="140" w:before="300"/>
      </w:pPr>
      <w:r>
        <w:rPr>
          <w:rFonts w:ascii="Calibri" w:cs="Calibri" w:eastAsia="Calibri" w:hAnsi="Calibri"/>
          <w:b/>
          <w:bCs/>
          <w:color w:val="2E5AAC"/>
          <w:sz w:val="26"/>
          <w:szCs w:val="26"/>
        </w:rPr>
        <w:t xml:space="preserve">3.1 Hero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Legacy System Modernization for Data, Cloud and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Reports that don’t match. Integrations that take months. AI pilots that stall at the data. We modernize the legacy systems behind them, in phases, starting with a two-week discovery, while the business keeps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2-Week Legacy Discovery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Get a free legacy system triage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TRUST LINE — PLAIN TEXT, NOT AN IMAGE</w:t>
            </w:r>
          </w:p>
          <w:p>
            <w:pPr>
              <w:spacing w:after="60"/>
            </w:pPr>
            <w:r>
              <w:rPr>
                <w:rFonts w:ascii="Calibri" w:cs="Calibri" w:eastAsia="Calibri" w:hAnsi="Calibri"/>
                <w:sz w:val="21"/>
                <w:szCs w:val="21"/>
              </w:rPr>
              <w:t xml:space="preserve">Technology partners: AWS · Microsoft · Snowflake · Databricks · Salesforce</w:t>
            </w:r>
          </w:p>
        </w:tc>
      </w:tr>
    </w:tbl>
    <w:p>
      <w:pPr>
        <w:spacing w:after="160" w:before="80"/>
      </w:pPr>
      <w:r>
        <w:rPr>
          <w:rFonts w:ascii="Calibri" w:cs="Calibri" w:eastAsia="Calibri" w:hAnsi="Calibri"/>
          <w:b/>
          <w:bCs/>
          <w:color w:val="5A5A6E"/>
          <w:sz w:val="19"/>
          <w:szCs w:val="19"/>
        </w:rPr>
        <w:t xml:space="preserve">Why this H1. </w:t>
      </w:r>
      <w:r>
        <w:rPr>
          <w:rFonts w:ascii="Calibri" w:cs="Calibri" w:eastAsia="Calibri" w:hAnsi="Calibri"/>
          <w:i/>
          <w:iCs/>
          <w:color w:val="5A5A6E"/>
          <w:sz w:val="19"/>
          <w:szCs w:val="19"/>
        </w:rPr>
        <w:t xml:space="preserve">It leads with the exact search term and names the three things the buyer is actually trying to fix. No wordplay. The subhead opens with the symptoms ICP research records buyers saying internally, so the right reader recognizes their problem in the first line.</w:t>
      </w:r>
    </w:p>
    <w:p>
      <w:pPr>
        <w:spacing w:after="160" w:before="80"/>
      </w:pPr>
      <w:r>
        <w:rPr>
          <w:rFonts w:ascii="Calibri" w:cs="Calibri" w:eastAsia="Calibri" w:hAnsi="Calibri"/>
          <w:b/>
          <w:bCs/>
          <w:color w:val="5A5A6E"/>
          <w:sz w:val="19"/>
          <w:szCs w:val="19"/>
        </w:rPr>
        <w:t xml:space="preserve">Why the CTA names the duration. </w:t>
      </w:r>
      <w:r>
        <w:rPr>
          <w:rFonts w:ascii="Calibri" w:cs="Calibri" w:eastAsia="Calibri" w:hAnsi="Calibri"/>
          <w:i/>
          <w:iCs/>
          <w:color w:val="5A5A6E"/>
          <w:sz w:val="19"/>
          <w:szCs w:val="19"/>
        </w:rPr>
        <w:t xml:space="preserve">A stated two-week first step lowers the perceived cost of starting. It reflects how delivery actually runs engagements.</w:t>
      </w:r>
    </w:p>
    <w:p>
      <w:pPr>
        <w:pStyle w:val="Heading3"/>
        <w:spacing w:after="100" w:before="220"/>
      </w:pPr>
      <w:r>
        <w:rPr>
          <w:rFonts w:ascii="Calibri" w:cs="Calibri" w:eastAsia="Calibri" w:hAnsi="Calibri"/>
          <w:b/>
          <w:bCs/>
          <w:color w:val="1B1B3A"/>
          <w:sz w:val="22"/>
          <w:szCs w:val="22"/>
        </w:rPr>
        <w:t xml:space="preserve">Role cards  —  #who-its-for  (directly below the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Does Your Legacy Problem Show Up?</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1 — Heads of Data and CDOs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2 — CIOs, CTOs and Transformation Leaders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3 — Engineering and Platform Leaders</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trusts the numbers.</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AI plan depends on systems nobody wants to touch.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legacy stack slows every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Data is pulled by hand from systems that were never designed to share it. And every AI initiative lands on your desk as a data problem.</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Leadership wants results from AI. The plan depends on core systems that are costly to change and risky to replace — and a failed modernization would be worse than none.</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An aging COBOL or Java codebase, a single-server application, or code only one person understands. Every feature takes longer, and every deployment carries risk.</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consolidate data from legacy sources onto a governed modern platform, running old and new side by side until the numbers reconcile. We brought a retailer’s SAP ERP, SAP BW and application databases into a single Snowflake source of truth for reporting, analytics, data science and AI.</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two weeks, we show you which systems block your priorities, which can be opened up with an API instead of migrated, and which to leave alone. Budget goes to the few changes that unlock the plan.</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modernize and migrate applications alongside your team, using AI-assisted engineering to work through unfamiliar code faster. We migrated a financial services firm’s COBOL code to Java with AI, and brought a national immunization platform used by 4,000+ frontline health workers from Java 8 onto a modern Java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Map my data sources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a prioritized plan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Triage one system →</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Cards 1 and 2 open the Discovery form; card 3 opens the Triage form. Each CTA passes a hidden "role" value (data / leadership / engineering) so the lead arrives tagged. Card copy is final: headline, problem, what we do, CTA.</w:t>
      </w:r>
    </w:p>
    <w:p>
      <w:pPr>
        <w:pStyle w:val="Heading2"/>
        <w:spacing w:after="140" w:before="300"/>
      </w:pPr>
      <w:r>
        <w:rPr>
          <w:rFonts w:ascii="Calibri" w:cs="Calibri" w:eastAsia="Calibri" w:hAnsi="Calibri"/>
          <w:b/>
          <w:bCs/>
          <w:color w:val="2E5AAC"/>
          <w:sz w:val="26"/>
          <w:szCs w:val="26"/>
        </w:rPr>
        <w:t xml:space="preserve">3.2 Definition  —  #what-is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Is Legacy System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Legacy system modernization is the process of updating or replacing aging software and infrastructure — core applications, databases and the platforms they run on — so they can be maintained, secured, integrated and scaled again. It ranges from moving a system to new infrastructure unchanged, to re-architecting it, to retiring it entirely.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Modernization isn’t the same as replacement. Most programs combine several approaches across a portfolio: some systems move as they are, some are restructured, some are replaced with off-the-shelf software — and some are left exactly where they are.</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Plain body text at readable size. The first paragraph is exactly 50 words so answer engines can quote it whole.</w:t>
      </w:r>
    </w:p>
    <w:p>
      <w:pPr>
        <w:pStyle w:val="Heading2"/>
        <w:spacing w:after="140" w:before="300"/>
      </w:pPr>
      <w:r>
        <w:rPr>
          <w:rFonts w:ascii="Calibri" w:cs="Calibri" w:eastAsia="Calibri" w:hAnsi="Calibri"/>
          <w:b/>
          <w:bCs/>
          <w:color w:val="2E5AAC"/>
          <w:sz w:val="26"/>
          <w:szCs w:val="26"/>
        </w:rPr>
        <w:t xml:space="preserve">3.3 Signs  —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When Does a Legacy System Need Modernizing?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Age alone isn’t the reason. These are:</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Reports from different systems don’t agree, and nobody can say which one is right.</w:t>
            </w:r>
          </w:p>
          <w:p>
            <w:pPr>
              <w:spacing w:after="60"/>
            </w:pPr>
            <w:r>
              <w:rPr>
                <w:rFonts w:ascii="Calibri" w:cs="Calibri" w:eastAsia="Calibri" w:hAnsi="Calibri"/>
                <w:sz w:val="21"/>
                <w:szCs w:val="21"/>
              </w:rPr>
              <w:t xml:space="preserve">• Your data team works from manual exports because there’s no reliable feed or API.</w:t>
            </w:r>
          </w:p>
          <w:p>
            <w:pPr>
              <w:spacing w:after="60"/>
            </w:pPr>
            <w:r>
              <w:rPr>
                <w:rFonts w:ascii="Calibri" w:cs="Calibri" w:eastAsia="Calibri" w:hAnsi="Calibri"/>
                <w:sz w:val="21"/>
                <w:szCs w:val="21"/>
              </w:rPr>
              <w:t xml:space="preserve">• Connecting anything new means a custom, point-to-point build, every time.</w:t>
            </w:r>
          </w:p>
          <w:p>
            <w:pPr>
              <w:spacing w:after="60"/>
            </w:pPr>
            <w:r>
              <w:rPr>
                <w:rFonts w:ascii="Calibri" w:cs="Calibri" w:eastAsia="Calibri" w:hAnsi="Calibri"/>
                <w:sz w:val="21"/>
                <w:szCs w:val="21"/>
              </w:rPr>
              <w:t xml:space="preserve">• Every change depends on one or two people who still understand the code.</w:t>
            </w:r>
          </w:p>
          <w:p>
            <w:pPr>
              <w:spacing w:after="60"/>
            </w:pPr>
            <w:r>
              <w:rPr>
                <w:rFonts w:ascii="Calibri" w:cs="Calibri" w:eastAsia="Calibri" w:hAnsi="Calibri"/>
                <w:sz w:val="21"/>
                <w:szCs w:val="21"/>
              </w:rPr>
              <w:t xml:space="preserve">• Security can’t patch the system without breaking something — or it’s already out of vendor support.</w:t>
            </w:r>
          </w:p>
          <w:p>
            <w:pPr>
              <w:spacing w:after="60"/>
            </w:pPr>
            <w:r>
              <w:rPr>
                <w:rFonts w:ascii="Calibri" w:cs="Calibri" w:eastAsia="Calibri" w:hAnsi="Calibri"/>
                <w:sz w:val="21"/>
                <w:szCs w:val="21"/>
              </w:rPr>
              <w:t xml:space="preserve">• An AI or analytics initiative stalled because it couldn’t reach the data or trigger the process it needed.</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One of these is a maintenance problem. Several at once is a strategic one.</w:t>
            </w:r>
          </w:p>
        </w:tc>
      </w:tr>
    </w:tbl>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Render the six signs as a real HTML bullet list, not as the bullet characters shown here.</w:t>
      </w:r>
    </w:p>
    <w:p>
      <w:r>
        <w:br w:type="page"/>
      </w:r>
    </w:p>
    <w:p>
      <w:pPr>
        <w:pStyle w:val="Heading2"/>
        <w:spacing w:after="140" w:before="300"/>
      </w:pPr>
      <w:r>
        <w:rPr>
          <w:rFonts w:ascii="Calibri" w:cs="Calibri" w:eastAsia="Calibri" w:hAnsi="Calibri"/>
          <w:b/>
          <w:bCs/>
          <w:color w:val="2E5AAC"/>
          <w:sz w:val="26"/>
          <w:szCs w:val="26"/>
        </w:rPr>
        <w:t xml:space="preserve">3.4 Approaches  —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Modernization Approach Is Right for Your System?</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Choose by what the system needs to do next — not by how old it is.</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Approach</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changes</w:t>
            </w:r>
          </w:p>
        </w:tc>
        <w:tc>
          <w:tcPr>
            <w:tcW w:type="dxa" w:w="2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Choose it when</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Watch out for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Nothing, for now</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stable, supported and not blocking anything</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Revisit on a schedule; "for now" shouldn’t become "forever"</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Retire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switched off</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Its functions are duplicated elsewhere or no longer used</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retention and audit obligations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it runs — code is unchanged</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Infrastructure is the problem: hardware end-of-life, data-center exit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Technical debt moves with it; no new integration capability</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Replatform</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runtime or database, with targeted changes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 want cloud operations benefits without rewriting</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Scope creep into a refactor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Refactor</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code structure — behavior stays the same</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design holds, but the code is slow, fragile or hard to change</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Needs strong test coverage first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Re-architect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system’s structure — services, APIs, event streams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structure itself prevents scaling or integration</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highest-risk option; phase it</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Rebuild</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from scratch</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Business rules are well understood and the platform is a dead end</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Hidden rules in old code get lost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Replace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Swapped for off-the-shelf software</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function is a commodity — HR, CRM, standard finance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Customizations that made the old system fit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CALLOUT BELOW THE TABLE</w:t>
            </w:r>
          </w:p>
          <w:p>
            <w:pPr>
              <w:spacing w:after="60"/>
            </w:pPr>
            <w:r>
              <w:rPr>
                <w:rFonts w:ascii="Calibri" w:cs="Calibri" w:eastAsia="Calibri" w:hAnsi="Calibri"/>
                <w:sz w:val="21"/>
                <w:szCs w:val="21"/>
              </w:rPr>
              <w:t xml:space="preserve">Often overlooked: if a system is sound but hard to reach, add an API layer. New applications and AI can use it straight away, and you can migrate behind that layer later — or not at all.</w:t>
            </w:r>
          </w:p>
        </w:tc>
      </w:tr>
    </w:tbl>
    <w:p>
      <w:pPr>
        <w:pStyle w:val="Heading2"/>
        <w:spacing w:after="140" w:before="300"/>
      </w:pPr>
      <w:r>
        <w:rPr>
          <w:rFonts w:ascii="Calibri" w:cs="Calibri" w:eastAsia="Calibri" w:hAnsi="Calibri"/>
          <w:b/>
          <w:bCs/>
          <w:color w:val="2E5AAC"/>
          <w:sz w:val="26"/>
          <w:szCs w:val="26"/>
        </w:rPr>
        <w:t xml:space="preserve">3.5 What to leave alone  —  #leave-alone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Legacy Systems Should You Not Modernize?</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Not every old system is a problem. Modernizing one that works spends budget and adds risk without buying a new capability.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Leave a system where it is when all of these are true:</w:t>
            </w:r>
          </w:p>
          <w:p>
            <w:pPr>
              <w:spacing w:after="60"/>
            </w:pPr>
            <w:r>
              <w:rPr>
                <w:rFonts w:ascii="Calibri" w:cs="Calibri" w:eastAsia="Calibri" w:hAnsi="Calibri"/>
                <w:sz w:val="21"/>
                <w:szCs w:val="21"/>
              </w:rPr>
              <w:t xml:space="preserve">• It’s stable and rarely needs to change</w:t>
            </w:r>
          </w:p>
          <w:p>
            <w:pPr>
              <w:spacing w:after="60"/>
            </w:pPr>
            <w:r>
              <w:rPr>
                <w:rFonts w:ascii="Calibri" w:cs="Calibri" w:eastAsia="Calibri" w:hAnsi="Calibri"/>
                <w:sz w:val="21"/>
                <w:szCs w:val="21"/>
              </w:rPr>
              <w:t xml:space="preserve">• It’s within vendor support and can be patched</w:t>
            </w:r>
          </w:p>
          <w:p>
            <w:pPr>
              <w:spacing w:after="60"/>
            </w:pPr>
            <w:r>
              <w:rPr>
                <w:rFonts w:ascii="Calibri" w:cs="Calibri" w:eastAsia="Calibri" w:hAnsi="Calibri"/>
                <w:sz w:val="21"/>
                <w:szCs w:val="21"/>
              </w:rPr>
              <w:t xml:space="preserve">• Nothing new needs to integrate with it</w:t>
            </w:r>
          </w:p>
          <w:p>
            <w:pPr>
              <w:spacing w:after="60"/>
            </w:pPr>
            <w:r>
              <w:rPr>
                <w:rFonts w:ascii="Calibri" w:cs="Calibri" w:eastAsia="Calibri" w:hAnsi="Calibri"/>
                <w:sz w:val="21"/>
                <w:szCs w:val="21"/>
              </w:rPr>
              <w:t xml:space="preserve">• The data it holds is already accessible to the people and systems that need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If a system passes every test but one — usually "nothing needs to integrate with it" — the answer is typically an API layer, not a migration.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We’ll tell you this in discovery. If an assessment recommends modernizing everything, question it.</w:t>
            </w:r>
          </w:p>
        </w:tc>
      </w:tr>
    </w:tbl>
    <w:p>
      <w:pPr>
        <w:spacing w:after="160" w:before="80"/>
      </w:pPr>
      <w:r>
        <w:rPr>
          <w:rFonts w:ascii="Calibri" w:cs="Calibri" w:eastAsia="Calibri" w:hAnsi="Calibri"/>
          <w:b/>
          <w:bCs/>
          <w:color w:val="5A5A6E"/>
          <w:sz w:val="19"/>
          <w:szCs w:val="19"/>
        </w:rPr>
        <w:t xml:space="preserve">Why this section exists. </w:t>
      </w:r>
      <w:r>
        <w:rPr>
          <w:rFonts w:ascii="Calibri" w:cs="Calibri" w:eastAsia="Calibri" w:hAnsi="Calibri"/>
          <w:i/>
          <w:iCs/>
          <w:color w:val="5A5A6E"/>
          <w:sz w:val="19"/>
          <w:szCs w:val="19"/>
        </w:rPr>
        <w:t xml:space="preserve">No competitor reviewed tells buyers what not to modernize. It is the most trust-building statement a vendor can make, and it is an unanswered question for AI search.</w:t>
      </w:r>
    </w:p>
    <w:p>
      <w:r>
        <w:br w:type="page"/>
      </w:r>
    </w:p>
    <w:p>
      <w:pPr>
        <w:pStyle w:val="Heading2"/>
        <w:spacing w:after="140" w:before="300"/>
      </w:pPr>
      <w:r>
        <w:rPr>
          <w:rFonts w:ascii="Calibri" w:cs="Calibri" w:eastAsia="Calibri" w:hAnsi="Calibri"/>
          <w:b/>
          <w:bCs/>
          <w:color w:val="2E5AAC"/>
          <w:sz w:val="26"/>
          <w:szCs w:val="26"/>
        </w:rPr>
        <w:t xml:space="preserve">3.6 Modernizing for AI  —  #for-ai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Why Modernize Legacy Systems for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can only use what it can reach. A model needs clean, current data. An AI agent needs functions it can call to take action. Both need systems that respond reliably at the volume automation creates. Most legacy systems were built for human operators and overnight batches — not for any of that.</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AI needs</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Typical legacy blocker</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Modernization move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it can read</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Batch exports, siloed databases, no single source of truth</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 to a modern data platform with governed pipelines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Actions it can take</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Business logic trapped behind screens, no APIs</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API layer, then re-architect if needed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Reliable response at machine volume</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 server, fixed capacity, overnight batch jobs</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or replatform to scalable cloud infrastructure</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w:t>
            </w:r>
          </w:p>
          <w:p>
            <w:pPr>
              <w:spacing w:after="60"/>
            </w:pPr>
            <w:r>
              <w:rPr>
                <w:rFonts w:ascii="Calibri" w:cs="Calibri" w:eastAsia="Calibri" w:hAnsi="Calibri"/>
                <w:sz w:val="21"/>
                <w:szCs w:val="21"/>
              </w:rPr>
              <w:t xml:space="preserve">The fastest route is often not a migration at all. Exposing a sound core system through APIs can unblock an AI initiative far sooner — and leaves the bigger modernization decision for when you have evidence.</w:t>
            </w:r>
          </w:p>
        </w:tc>
      </w:tr>
    </w:tbl>
    <w:p>
      <w:pPr>
        <w:spacing w:after="160" w:before="80"/>
      </w:pPr>
      <w:r>
        <w:rPr>
          <w:rFonts w:ascii="Calibri" w:cs="Calibri" w:eastAsia="Calibri" w:hAnsi="Calibri"/>
          <w:b/>
          <w:bCs/>
          <w:color w:val="5A5A6E"/>
          <w:sz w:val="19"/>
          <w:szCs w:val="19"/>
        </w:rPr>
        <w:t xml:space="preserve">Links. </w:t>
      </w:r>
      <w:r>
        <w:rPr>
          <w:rFonts w:ascii="Calibri" w:cs="Calibri" w:eastAsia="Calibri" w:hAnsi="Calibri"/>
          <w:i/>
          <w:iCs/>
          <w:color w:val="5A5A6E"/>
          <w:sz w:val="19"/>
          <w:szCs w:val="19"/>
        </w:rPr>
        <w:t xml:space="preserve">"AI initiative" → Applied AI Solutions pillar · "modern data platform" → /services/data-analytics · section footer → /services/digital-transformation, anchor text "the infrastructure underneath AI".</w:t>
      </w:r>
    </w:p>
    <w:p>
      <w:pPr>
        <w:pStyle w:val="Heading2"/>
        <w:spacing w:after="140" w:before="300"/>
      </w:pPr>
      <w:r>
        <w:rPr>
          <w:rFonts w:ascii="Calibri" w:cs="Calibri" w:eastAsia="Calibri" w:hAnsi="Calibri"/>
          <w:b/>
          <w:bCs/>
          <w:color w:val="2E5AAC"/>
          <w:sz w:val="26"/>
          <w:szCs w:val="26"/>
        </w:rPr>
        <w:t xml:space="preserve">3.7 Process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How Does a Legacy Modernization Project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Every engagement starts with a two-week discovery. Then we plan, and modernize in phases — so the business never waits on a single cutover.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4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happens</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you get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 Discovery — 2 weeks</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Map the systems in scope, how they connect and where data flows. Identify the business rules and risks that matter most. Score each system on business criticality, change frequency and risk.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a recommended approach for each system, including which to leave alone · a leadership readout on what to fund first, and why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 Planning</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Sequence the work by value and risk, define the phases, and decide what gets proven first.</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phased modernization plan and the scope for implementation</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 Implementation: prove it</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one bounded slice in production before scaling up.</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working first phase, and evidence the approach holds before larger budget is committed</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 Implementation: phased migration</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Old and new run in parallel. Users or transactions move across in controlled stages, results are reconciled between both, and every phase has a rollback path.</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Incremental releases, with the business running throughout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 Handover</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Documentation and knowledge transfer.</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Your team owns and runs the modernized system</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SUB-HEADING</w:t>
            </w:r>
          </w:p>
          <w:p>
            <w:pPr>
              <w:spacing w:after="60"/>
            </w:pPr>
            <w:r>
              <w:rPr>
                <w:rFonts w:ascii="Calibri" w:cs="Calibri" w:eastAsia="Calibri" w:hAnsi="Calibri"/>
                <w:sz w:val="21"/>
                <w:szCs w:val="21"/>
              </w:rPr>
              <w:t xml:space="preserve">What the Two-Week Discovery Gives You</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you lead…</w:t>
            </w:r>
          </w:p>
        </w:tc>
        <w:tc>
          <w:tcPr>
            <w:tcW w:type="dxa" w:w="6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You leave discovery with</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and analytics</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map of every legacy data source feeding your reports, where the numbers diverge, and a migration path that keeps existing reports running until the new ones reconcile</w:t>
            </w:r>
          </w:p>
        </w:tc>
      </w:tr>
      <w:tr>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or transformation</w:t>
            </w:r>
          </w:p>
        </w:tc>
        <w:tc>
          <w:tcPr>
            <w:tcW w:type="dxa" w:w="6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prioritized view of which systems block your roadmap and AI plans, what each option costs in effort and risk, and a readout your leadership can act on</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or platform</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technical approach for each application in scope, the first slice to modernize, and how the work fits alongside your team’s roadmap</w:t>
            </w:r>
          </w:p>
        </w:tc>
      </w:tr>
    </w:tbl>
    <w:p>
      <w:pPr>
        <w:spacing w:after="160" w:before="80"/>
      </w:pPr>
      <w:r>
        <w:rPr>
          <w:rFonts w:ascii="Calibri" w:cs="Calibri" w:eastAsia="Calibri" w:hAnsi="Calibri"/>
          <w:b/>
          <w:bCs/>
          <w:color w:val="5A5A6E"/>
          <w:sz w:val="19"/>
          <w:szCs w:val="19"/>
        </w:rPr>
        <w:t xml:space="preserve">Why this block exists. </w:t>
      </w:r>
      <w:r>
        <w:rPr>
          <w:rFonts w:ascii="Calibri" w:cs="Calibri" w:eastAsia="Calibri" w:hAnsi="Calibri"/>
          <w:i/>
          <w:iCs/>
          <w:color w:val="5A5A6E"/>
          <w:sz w:val="19"/>
          <w:szCs w:val="19"/>
        </w:rPr>
        <w:t xml:space="preserve">The discovery is the conversion point. Describing it in each buyer’s terms makes the first step concrete — the single biggest lever on booking rate.</w:t>
      </w:r>
    </w:p>
    <w:p>
      <w:r>
        <w:br w:type="page"/>
      </w:r>
    </w:p>
    <w:p>
      <w:pPr>
        <w:pStyle w:val="Heading2"/>
        <w:spacing w:after="140" w:before="300"/>
      </w:pPr>
      <w:r>
        <w:rPr>
          <w:rFonts w:ascii="Calibri" w:cs="Calibri" w:eastAsia="Calibri" w:hAnsi="Calibri"/>
          <w:b/>
          <w:bCs/>
          <w:color w:val="2E5AAC"/>
          <w:sz w:val="26"/>
          <w:szCs w:val="26"/>
        </w:rPr>
        <w:t xml:space="preserve">3.8 AI in modernization  —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Can AI Actually Do in Legacy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speeds up the parts of modernization that are about understanding — reading unfamiliar code, documenting business rules, drafting tests and producing first-pass changes. It doesn’t remove the need to prove the new system behaves exactly like the old one. That proof is still where modernization succeeds or fails.</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Our engineers use AI coding assistants, including Cursor and Claude, throughout modernization work. Every change they help produce is reviewed, tested and owned by an engineer. We used AI-assisted engineering to migrate a financial services firm’s COBOL code to Java.</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Where AI helps</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still needs engineers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Reading and summarizing unfamiliar legacy code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Confirming which behavior the business actually depends 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Drafting documentation of business rules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Validating those rules with the people who use the system</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Generating test cases from existing behavior</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Deciding what "equivalent" means, and signing it off</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First-pass code changes and translation</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Architecture, security review, performance under real load</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LINE</w:t>
            </w:r>
          </w:p>
          <w:p>
            <w:pPr>
              <w:spacing w:after="60"/>
            </w:pPr>
            <w:r>
              <w:rPr>
                <w:rFonts w:ascii="Calibri" w:cs="Calibri" w:eastAsia="Calibri" w:hAnsi="Calibri"/>
                <w:sz w:val="21"/>
                <w:szCs w:val="21"/>
              </w:rPr>
              <w:t xml:space="preserve">Treat any promise of fully automatic conversion with caution: proving the new system behaves like the old one is still engineering work.</w:t>
            </w:r>
          </w:p>
        </w:tc>
      </w:tr>
    </w:tbl>
    <w:p>
      <w:pPr>
        <w:spacing w:after="160" w:before="80"/>
      </w:pPr>
      <w:r>
        <w:rPr>
          <w:rFonts w:ascii="Calibri" w:cs="Calibri" w:eastAsia="Calibri" w:hAnsi="Calibri"/>
          <w:b/>
          <w:bCs/>
          <w:color w:val="5A5A6E"/>
          <w:sz w:val="19"/>
          <w:szCs w:val="19"/>
        </w:rPr>
        <w:t xml:space="preserve">On naming the tools. </w:t>
      </w:r>
      <w:r>
        <w:rPr>
          <w:rFonts w:ascii="Calibri" w:cs="Calibri" w:eastAsia="Calibri" w:hAnsi="Calibri"/>
          <w:i/>
          <w:iCs/>
          <w:color w:val="5A5A6E"/>
          <w:sz w:val="19"/>
          <w:szCs w:val="19"/>
        </w:rPr>
        <w:t xml:space="preserve">Cursor and Claude are named because specificity is credible and machine-matchable. Naming them implies no partnership or endorsement — do not add their logos. Review the tool list when delivery practice changes.</w:t>
      </w:r>
    </w:p>
    <w:p>
      <w:pPr>
        <w:pStyle w:val="Heading2"/>
        <w:spacing w:after="140" w:before="300"/>
      </w:pPr>
      <w:r>
        <w:rPr>
          <w:rFonts w:ascii="Calibri" w:cs="Calibri" w:eastAsia="Calibri" w:hAnsi="Calibri"/>
          <w:b/>
          <w:bCs/>
          <w:color w:val="2E5AAC"/>
          <w:sz w:val="26"/>
          <w:szCs w:val="26"/>
        </w:rPr>
        <w:t xml:space="preserve">3.9 Proof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Systems We’ve Modernized</w:t>
            </w:r>
          </w:p>
        </w:tc>
      </w:tr>
    </w:tbl>
    <w:p>
      <w:pPr>
        <w:spacing w:after="60"/>
      </w:pPr>
      <w:r>
        <w:rPr>
          <w:sz w:val="2"/>
          <w:szCs w:val="2"/>
        </w:rPr>
        <w:t xml:space="preserve"/>
      </w:r>
    </w:p>
    <w:p>
      <w:pPr>
        <w:spacing w:after="120" w:before="0"/>
      </w:pPr>
      <w:r>
        <w:rPr>
          <w:rFonts w:ascii="Calibri" w:cs="Calibri" w:eastAsia="Calibri" w:hAnsi="Calibri"/>
          <w:sz w:val="21"/>
          <w:szCs w:val="21"/>
        </w:rPr>
        <w:t xml:space="preserve">Four case cards, each with the same four-part structure. The fixed structure is what makes them extractable by AI engines.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Client</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Starting point</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we did</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Outcome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Application modernization and COBOL to Java with AI</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financial services firm</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RPG and COBOL applications on on-premise infrastructure, with limited scalability, high maintenance cost and security exposure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the RPG applications, migrated the COBOL code to Java using AI-assisted engineering, and moved the applications and data to private cloud</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Completed with minimal operational disruption</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national immunization platform, from Java 8 to modern Java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of Pakistan’s leading NGOs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national digital immunization platform built on Java 8, serving frontline health workers across multiple regions, including areas with little or no connectivity</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Completed the migration and modernization of the platform from Java 8 onto a modern Java release, and scaled its data infrastructure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platform managing over a billion immunization records for 4,000+ frontline health workers, on a modern Java foundation it can keep building on</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platform to AWS</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An ecommerce brand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legacy single-server setup that couldn’t scale with the business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to AWS, decoupled the application layers and updated the codebase</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foundation for scalable operations</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single source of truth for a retailer’s data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leading South African retailer</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spread across SAP ERP, SAP BW and application databases, with no unified view and several competing sources of truth</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Migrated data from every source into a single Snowflake source of truth</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Reporting, data analysis, data science models and AI use cases now run from one trusted source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Dependable operational data for a water utility</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water utility</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Slow, unreliable data processing meant the teams monitoring operations couldn’t count on complete, timely data to make decisions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Traced the slowdowns to their root causes in the existing pipeline code and re-engineered it, without replacing the platform</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Faster, dependable data for operational monitoring and decisions, and more value from the platform the utility already owned</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TESTIMONIAL</w:t>
            </w:r>
          </w:p>
          <w:p>
            <w:pPr>
              <w:spacing w:after="60"/>
            </w:pPr>
            <w:r>
              <w:rPr>
                <w:rFonts w:ascii="Calibri" w:cs="Calibri" w:eastAsia="Calibri" w:hAnsi="Calibri"/>
                <w:sz w:val="21"/>
                <w:szCs w:val="21"/>
              </w:rPr>
              <w:t xml:space="preserve">"xLoop architects meticulously planned and executed the migration, ensuring minimal disruption to our operations."</w:t>
            </w:r>
          </w:p>
          <w:p>
            <w:pPr>
              <w:spacing w:after="60"/>
            </w:pPr>
            <w:r>
              <w:rPr>
                <w:rFonts w:ascii="Calibri" w:cs="Calibri" w:eastAsia="Calibri" w:hAnsi="Calibri"/>
                <w:sz w:val="21"/>
                <w:szCs w:val="21"/>
              </w:rPr>
              <w:t xml:space="preserve">— John Waterhouse, Founder and CEO, Cloud Titans Ltd · on the modernization of their core applications</w:t>
            </w:r>
          </w:p>
        </w:tc>
      </w:tr>
    </w:tbl>
    <w:p>
      <w:pPr>
        <w:spacing w:after="160" w:before="80"/>
      </w:pPr>
      <w:r>
        <w:rPr>
          <w:rFonts w:ascii="Calibri" w:cs="Calibri" w:eastAsia="Calibri" w:hAnsi="Calibri"/>
          <w:b/>
          <w:bCs/>
          <w:color w:val="5A5A6E"/>
          <w:sz w:val="19"/>
          <w:szCs w:val="19"/>
        </w:rPr>
        <w:t xml:space="preserve">Card order. </w:t>
      </w:r>
      <w:r>
        <w:rPr>
          <w:rFonts w:ascii="Calibri" w:cs="Calibri" w:eastAsia="Calibri" w:hAnsi="Calibri"/>
          <w:i/>
          <w:iCs/>
          <w:color w:val="5A5A6E"/>
          <w:sz w:val="19"/>
          <w:szCs w:val="19"/>
        </w:rPr>
        <w:t xml:space="preserve">Lead with the COBOL-to-Java card: it is the strongest proof on the page and the only one that shows AI-assisted migration. Then the retailer data card (primary buyer: heads of data), then the immunization platform, AWS and utility cards.</w:t>
      </w:r>
    </w:p>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DO NOT ADD TO ANY CARD: </w:t>
      </w:r>
      <w:r>
        <w:rPr>
          <w:rFonts w:ascii="Calibri" w:cs="Calibri" w:eastAsia="Calibri" w:hAnsi="Calibri"/>
          <w:color w:val="B02A2A"/>
          <w:sz w:val="19"/>
          <w:szCs w:val="19"/>
        </w:rPr>
        <w:t xml:space="preserve">client names (the financial services firm, the retailer, the NGO, the ecommerce brand and the utility are all anonymized); any percentage; "real-time" on the retailer card; "zero downtime", "no downtime" or "uninterrupted performance"; the IBM i / AS/400 platform name; the Java 19 version number.</w:t>
      </w:r>
    </w:p>
    <w:p>
      <w:r>
        <w:br w:type="page"/>
      </w:r>
    </w:p>
    <w:p>
      <w:pPr>
        <w:pStyle w:val="Heading2"/>
        <w:spacing w:after="140" w:before="300"/>
      </w:pPr>
      <w:r>
        <w:rPr>
          <w:rFonts w:ascii="Calibri" w:cs="Calibri" w:eastAsia="Calibri" w:hAnsi="Calibri"/>
          <w:b/>
          <w:bCs/>
          <w:color w:val="2E5AAC"/>
          <w:sz w:val="26"/>
          <w:szCs w:val="26"/>
        </w:rPr>
        <w:t xml:space="preserve">3.10 From → To  —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We’ve Modernized From, and To</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Delivered for</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RPG applications on on-premise infrastructure</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applications on private cloud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COBOL code</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using AI-assisted engineering</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Java 8 national immunization platform</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modern Java release, with scaled data infrastructure</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(non-profit)</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application</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with decoupled application layers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Ecommerce</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ERP, SAP BW and application databases</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single Snowflake source of truth</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SQL, stored procedures and PySpark pipelines</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Re-engineered, dependable data pipelines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Utilities</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LINE BELOW THE TABLE</w:t>
            </w:r>
          </w:p>
          <w:p>
            <w:pPr>
              <w:spacing w:after="60"/>
            </w:pPr>
            <w:r>
              <w:rPr>
                <w:rFonts w:ascii="Calibri" w:cs="Calibri" w:eastAsia="Calibri" w:hAnsi="Calibri"/>
                <w:sz w:val="21"/>
                <w:szCs w:val="21"/>
              </w:rPr>
              <w:t xml:space="preserve">We’ve also migrated PHP applications and run cloud-to-cloud migrations.</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add rows. </w:t>
      </w:r>
      <w:r>
        <w:rPr>
          <w:rFonts w:ascii="Calibri" w:cs="Calibri" w:eastAsia="Calibri" w:hAnsi="Calibri"/>
          <w:color w:val="B02A2A"/>
          <w:sz w:val="19"/>
          <w:szCs w:val="19"/>
        </w:rPr>
        <w:t xml:space="preserve">.NET Framework, Oracle, VB6/Access, mainframe, and Microsoft Azure as a target have not been delivered. Adding any of them is a false capability claim. New rows need delivery confirmation first.</w:t>
      </w:r>
    </w:p>
    <w:p>
      <w:pPr>
        <w:pStyle w:val="Heading2"/>
        <w:spacing w:after="140" w:before="300"/>
      </w:pPr>
      <w:r>
        <w:rPr>
          <w:rFonts w:ascii="Calibri" w:cs="Calibri" w:eastAsia="Calibri" w:hAnsi="Calibri"/>
          <w:b/>
          <w:bCs/>
          <w:color w:val="2E5AAC"/>
          <w:sz w:val="26"/>
          <w:szCs w:val="26"/>
        </w:rPr>
        <w:t xml:space="preserve">3.11 At a glance  —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at a Glance</w:t>
            </w:r>
          </w:p>
        </w:tc>
      </w:tr>
    </w:tbl>
    <w:p>
      <w:pPr>
        <w:spacing w:after="60"/>
      </w:pPr>
      <w:r>
        <w:rPr>
          <w:sz w:val="2"/>
          <w:szCs w:val="2"/>
        </w:rPr>
        <w:t xml:space="preserve"/>
      </w:r>
    </w:p>
    <w:p>
      <w:pPr>
        <w:spacing w:after="120" w:before="0"/>
      </w:pPr>
      <w:r>
        <w:rPr>
          <w:rFonts w:ascii="Calibri" w:cs="Calibri" w:eastAsia="Calibri" w:hAnsi="Calibri"/>
          <w:sz w:val="21"/>
          <w:szCs w:val="21"/>
        </w:rPr>
        <w:t xml:space="preserve">The block AI agents read first. Real HTML table, server-rendered, never collapsed.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Fact</w:t>
            </w:r>
          </w:p>
        </w:tc>
        <w:tc>
          <w:tcPr>
            <w:tcW w:type="dxa" w:w="7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Who it’s for</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and chief data officers; CIOs, CTOs and transformation leaders; engineering and platform leaders — at mid-size and large organizations running business-critical systems that are hard to change, integrate or secure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triggers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data-center or hardware exit · an AI or analytics initiative blocked by a legacy system · integration backlog · security or audit findings · rising maintenance cost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to start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Two-week Legacy Modernization Discovery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Discovery outputs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recommended approach for each system, including which to leave alone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it runs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Discovery → planning → phased implementation with parallel running, reconciliation and a rollback path per phase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Approaches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Retain · Retire · Rehost · Replatform · Refactor · Re-architect · Rebuild · Replace · API layer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targets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AWS · private cloud · Snowflake · Java (from COBOL and from Java 8)</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in delivery</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coding assistants, including Cursor and Claude, with every change reviewed and tested by an engineer. Used to migrate COBOL code to Java for a financial services firm</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 · Embedded specialists · Retainer advisory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partners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 Microsoft · Snowflake · Databricks · Salesforce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Offices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Karachi · San Mateo · Dubai · Doha — serving clients across Asia, the Middle East, Africa, Europe and North America</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Industries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 · Energy and utilities · Healthcare · Retail · Transport and logistics</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 a fit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Systems that are stable, supported and not blocking anything — we’ll recommend leaving them alone · Large mainframe replacement programs</w:t>
            </w:r>
          </w:p>
        </w:tc>
      </w:tr>
    </w:tbl>
    <w:p>
      <w:r>
        <w:br w:type="page"/>
      </w:r>
    </w:p>
    <w:p>
      <w:pPr>
        <w:pStyle w:val="Heading2"/>
        <w:spacing w:after="140" w:before="300"/>
      </w:pPr>
      <w:r>
        <w:rPr>
          <w:rFonts w:ascii="Calibri" w:cs="Calibri" w:eastAsia="Calibri" w:hAnsi="Calibri"/>
          <w:b/>
          <w:bCs/>
          <w:color w:val="2E5AAC"/>
          <w:sz w:val="26"/>
          <w:szCs w:val="26"/>
        </w:rPr>
        <w:t xml:space="preserve">3.12 FAQ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FAQ</w:t>
            </w:r>
          </w:p>
        </w:tc>
      </w:tr>
    </w:tbl>
    <w:p>
      <w:pPr>
        <w:spacing w:after="60"/>
      </w:pPr>
      <w:r>
        <w:rPr>
          <w:sz w:val="2"/>
          <w:szCs w:val="2"/>
        </w:rPr>
        <w:t xml:space="preserve"/>
      </w:r>
    </w:p>
    <w:p>
      <w:pPr>
        <w:spacing w:after="120" w:before="0"/>
      </w:pPr>
      <w:r>
        <w:rPr>
          <w:rFonts w:ascii="Calibri" w:cs="Calibri" w:eastAsia="Calibri" w:hAnsi="Calibri"/>
          <w:sz w:val="21"/>
          <w:szCs w:val="21"/>
        </w:rPr>
        <w:t xml:space="preserve">Fifteen questions. Each answer opens with the answer, then explains. All fifteen go into FAQPage schema with text identical to the page. Q14 speaks to CIOs and transformation leaders; Q15 to heads of data.</w:t>
      </w:r>
    </w:p>
    <w:p>
      <w:pPr>
        <w:spacing w:after="12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What is legacy system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Legacy system modernization is the process of updating or replacing aging software and infrastructure so it can be maintained, secured, integrated and scaled again. It covers everything from moving a system to new infrastructure unchanged, to re-architecting it, to retiring it. Most programs mix several approaches across a portfolio — including leaving some systems alone.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How do you decide whether to rehost, refactor, re-architect or replace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what the system needs to do next, not how old it is. If only the infrastructure is the problem, rehost or replatform. If the design holds but the code is fragile, refactor. If the structure itself blocks scaling or integration, re-architect. If the function is a commodity, replace it. In discovery we score each system on business criticality, change frequency, risk and what it’s blocking.</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How do you modernize a legacy system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never switching everything over at once. The new system runs alongside the old one, users or transactions move across in controlled stages, results are reconciled between the two, and every phase has a rollback path. Short, scheduled cutover windows are sometimes still needed, but never an all-at-once switchover. It’s how we modernized a financial services firm’s RPG and COBOL applications and moved them to private cloud with minimal operational disruption.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How long does legacy system modernization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It depends on the approach and how tightly the system is connected to everything around it. Rehosting a well-understood application can take weeks. Re-architecting a core system that many processes depend on can take a year or more, delivered in phases that each produce something usable. Every engagement starts with a two-week discovery, which answers this for your systems specifically before you commit to a plan.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How much does legacy system modernization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Five things drive cost: the size and complexity of the codebase, how well it’s documented, the approach chosen for each system, the volume and quality of data to migrate, and how much parallel running the business needs. That’s why a credible estimate comes after discovery, not before it. Our two-week discovery produces the system map, risks and recommended approach that a realistic plan is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Should we modernize legacy systems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the parts the AI needs to reach. An AI initiative needs data it can read and, for agents, actions it can call. If a legacy system blocks either, fix that first — often with an API layer rather than a migration. If it doesn’t, leave it and start the AI work. Modernizing everything first delays value for no reason.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if our legacy system has no documentation and the original developers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That’s the normal case, not the exception. We reconstruct how the system works from its code, its data and how people actually use it, document the business rules that matter before anything changes, and confirm them with the people who rely on the system. Undocumented behavior is the biggest source of modernization risk, so we surface it early — not mid-migration.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Can AI tools convert our legacy code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Partly. AI is genuinely useful for reading unfamiliar code, documenting business rules, drafting tests and producing first-pass changes — our engineers use assistants such as Cursor and Claude for exactly that, and we used them to migrate a financial services firm’s COBOL code to Java. It doesn’t prove the new system behaves exactly like the old one, and that proof is where modernization projects succeed or fail. Treat any promise of fully automatic conversion with caution.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 use AI tools on 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if you agree to it. Our engineers use AI coding assistants, including Cursor and Claude, to read and document legacy code faster and to draft tests and changes. Whether those tools can be used on your codebase, and under what data controls, is agreed with you before work starts. Every AI-assisted change is reviewed and tested by an engineer.</w:t>
            </w:r>
          </w:p>
        </w:tc>
      </w:tr>
    </w:tbl>
    <w:p>
      <w:pPr>
        <w:spacing w:after="160" w:before="80"/>
      </w:pPr>
      <w:r>
        <w:rPr>
          <w:rFonts w:ascii="Calibri" w:cs="Calibri" w:eastAsia="Calibri" w:hAnsi="Calibri"/>
          <w:b/>
          <w:bCs/>
          <w:color w:val="5A5A6E"/>
          <w:sz w:val="19"/>
          <w:szCs w:val="19"/>
        </w:rPr>
        <w:t xml:space="preserve">Launch dependency. </w:t>
      </w:r>
      <w:r>
        <w:rPr>
          <w:rFonts w:ascii="Calibri" w:cs="Calibri" w:eastAsia="Calibri" w:hAnsi="Calibri"/>
          <w:i/>
          <w:iCs/>
          <w:color w:val="5A5A6E"/>
          <w:sz w:val="19"/>
          <w:szCs w:val="19"/>
        </w:rPr>
        <w:t xml:space="preserve">This answer commits delivery to agreeing AI-tool use with each client before work starts. That step must exist in the engagement kickoff before the page goes live — see §8.</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Q10. What happens to our existing team during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stay central. Your team knows how the business actually uses the system, and they’ll run the modernized version afterwards. We work alongside them, plan how the legacy system stays supported while migration runs, and build knowledge transfer into every phase rather than leaving it to the end.</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Q11. How do you keep data secure and compliant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Migration is when data is most exposed — it’s copied, transformed and running in two places at once. We define data classification, access controls and reconciliation checks before the first transfer, and keep both environments under the same controls during parallel running. Where regulated data is involved, our security practice — which includes certified ISO 27001 and ISO 42001 Lead Auditors — is part of the engagement.</w:t>
            </w:r>
          </w:p>
        </w:tc>
      </w:tr>
    </w:tbl>
    <w:p>
      <w:pPr>
        <w:spacing w:after="160" w:before="80"/>
      </w:pPr>
      <w:r>
        <w:rPr>
          <w:rFonts w:ascii="Calibri" w:cs="Calibri" w:eastAsia="Calibri" w:hAnsi="Calibri"/>
          <w:b/>
          <w:bCs/>
          <w:color w:val="5A5A6E"/>
          <w:sz w:val="19"/>
          <w:szCs w:val="19"/>
        </w:rPr>
        <w:t xml:space="preserve">Claims note. </w:t>
      </w:r>
      <w:r>
        <w:rPr>
          <w:rFonts w:ascii="Calibri" w:cs="Calibri" w:eastAsia="Calibri" w:hAnsi="Calibri"/>
          <w:i/>
          <w:iCs/>
          <w:color w:val="5A5A6E"/>
          <w:sz w:val="19"/>
          <w:szCs w:val="19"/>
        </w:rPr>
        <w:t xml:space="preserve">Lead Auditor certification is individual, never company-level. Do not shorten to "ISO 27001 certified".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Q12. Can you modernize onto our existing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Yes. We’ve delivered migrations to AWS, to private cloud and to Snowflake on AWS, as well as cloud-to-cloud migrations, and our technology partners are AWS, Microsoft, Snowflake, Databricks and Salesforce. The target platform should follow your existing contracts, data residency requirements and team skills — the architecture decisions carry across platforms.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Q13. Which legacy systems should we not modernize?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 ones that are stable, supported, rarely changed and not blocking anything. Modernizing them costs budget and adds risk without adding capability. If a sound system is simply hard to reach, wrap it in an API layer and leave the core alone. A good discovery should recommend leaving some systems untouched — if one recommends modernizing everything, question it.</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Q14. How do we build a business case for modernizing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Compare the cost of keeping the system with the cost of changing it. Keeping it costs maintenance, scarce skills, security exposure once support ends, and the initiatives it delays — often the most expensive line, and the one most business cases leave out. Changing it costs the phased work plus the parallel running needed to do it safely. Our two-week discovery produces the system map, risks and prioritized options that both sides of that comparison are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Q15. How do we modernize legacy data sources without breaking existing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Run the old and new data pipelines side by side and reconcile the outputs, report by report, before anything is switched off. Reports move to the new platform only once their numbers match — so the business never loses a report it depends on, and the data team never has to defend a figure nobody can trace. That’s the approach behind our work bringing a retailer’s SAP ERP, SAP BW and application databases into a single Snowflake source of truth.</w:t>
            </w:r>
          </w:p>
        </w:tc>
      </w:tr>
    </w:tbl>
    <w:p>
      <w:pPr>
        <w:spacing w:after="80"/>
      </w:pPr>
      <w:r>
        <w:rPr>
          <w:sz w:val="2"/>
          <w:szCs w:val="2"/>
        </w:rPr>
        <w:t xml:space="preserve"/>
      </w:r>
    </w:p>
    <w:p>
      <w:r>
        <w:br w:type="page"/>
      </w:r>
    </w:p>
    <w:p>
      <w:pPr>
        <w:pStyle w:val="Heading2"/>
        <w:spacing w:after="140" w:before="300"/>
      </w:pPr>
      <w:r>
        <w:rPr>
          <w:rFonts w:ascii="Calibri" w:cs="Calibri" w:eastAsia="Calibri" w:hAnsi="Calibri"/>
          <w:b/>
          <w:bCs/>
          <w:color w:val="2E5AAC"/>
          <w:sz w:val="26"/>
          <w:szCs w:val="26"/>
        </w:rPr>
        <w:t xml:space="preserve">3.13 Lead capture band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Start With the Systems That Are Actually in the Way</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Tell us what you’re running and what it’s blocking. We’ll tell you what to modernize, what to wrap, and what to leave alone.</w:t>
            </w:r>
          </w:p>
        </w:tc>
      </w:tr>
    </w:tbl>
    <w:p>
      <w:pPr>
        <w:spacing w:after="80"/>
      </w:pPr>
      <w:r>
        <w:rPr>
          <w:sz w:val="2"/>
          <w:szCs w:val="2"/>
        </w:rPr>
        <w:t xml:space="preserve"/>
      </w:r>
    </w:p>
    <w:p>
      <w:pPr>
        <w:spacing w:after="120" w:before="0"/>
      </w:pPr>
      <w:r>
        <w:rPr>
          <w:rFonts w:ascii="Calibri" w:cs="Calibri" w:eastAsia="Calibri" w:hAnsi="Calibri"/>
          <w:sz w:val="21"/>
          <w:szCs w:val="21"/>
        </w:rPr>
        <w:t xml:space="preserve">Three columns, equal visual weight, left to right by buyer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Book a Discovery</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Get a Legacy System Triage</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Take the Decision Guide</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 teams ready to scope a program. Two weeks mapping your systems, dependencies and risks, ending in a recommended approach for each.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Eight short questions about one system. A solutions architect reviews it and replies with a first view on the right approach.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approaches, the leave-it-alone rules and the AI-readiness checks from this page, formatted for your steering committee.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My Triage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Download the Guide →</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SMALL PRINT UNDER THE BAND</w:t>
            </w:r>
          </w:p>
          <w:p>
            <w:pPr>
              <w:spacing w:after="60"/>
            </w:pPr>
            <w:r>
              <w:rPr>
                <w:rFonts w:ascii="Calibri" w:cs="Calibri" w:eastAsia="Calibri" w:hAnsi="Calibri"/>
                <w:sz w:val="21"/>
                <w:szCs w:val="21"/>
              </w:rPr>
              <w:t xml:space="preserve">Every engagement starts with discovery. We don’t quote or begin a migration without one.</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publish the "Download the Guide" button until the PDF exists. </w:t>
      </w:r>
      <w:r>
        <w:rPr>
          <w:rFonts w:ascii="Calibri" w:cs="Calibri" w:eastAsia="Calibri" w:hAnsi="Calibri"/>
          <w:color w:val="B02A2A"/>
          <w:sz w:val="19"/>
          <w:szCs w:val="19"/>
        </w:rPr>
        <w:t xml:space="preserve">Ship the band with two columns if the guide is not ready at launch.</w:t>
      </w:r>
    </w:p>
    <w:p>
      <w:pPr>
        <w:pStyle w:val="Heading2"/>
        <w:spacing w:after="140" w:before="300"/>
      </w:pPr>
      <w:r>
        <w:rPr>
          <w:rFonts w:ascii="Calibri" w:cs="Calibri" w:eastAsia="Calibri" w:hAnsi="Calibri"/>
          <w:b/>
          <w:bCs/>
          <w:color w:val="2E5AAC"/>
          <w:sz w:val="26"/>
          <w:szCs w:val="26"/>
        </w:rPr>
        <w:t xml:space="preserve">3.14 Related  —  #related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Related Services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text</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URL</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/services/ai-security-service</w:t>
            </w:r>
          </w:p>
        </w:tc>
      </w:tr>
    </w:tbl>
    <w:p>
      <w:pPr>
        <w:spacing w:after="160" w:before="80"/>
      </w:pPr>
      <w:r>
        <w:rPr>
          <w:rFonts w:ascii="Calibri" w:cs="Calibri" w:eastAsia="Calibri" w:hAnsi="Calibri"/>
          <w:b/>
          <w:bCs/>
          <w:color w:val="5A5A6E"/>
          <w:sz w:val="19"/>
          <w:szCs w:val="19"/>
        </w:rPr>
        <w:t xml:space="preserve">Resources block. </w:t>
      </w:r>
      <w:r>
        <w:rPr>
          <w:rFonts w:ascii="Calibri" w:cs="Calibri" w:eastAsia="Calibri" w:hAnsi="Calibri"/>
          <w:i/>
          <w:iCs/>
          <w:color w:val="5A5A6E"/>
          <w:sz w:val="19"/>
          <w:szCs w:val="19"/>
        </w:rPr>
        <w:t xml:space="preserve">At launch: the five articles in §5.1. Add the two §5.2 articles once fixed, and §5.4 articles as they publish.</w:t>
      </w:r>
    </w:p>
    <w:p>
      <w:r>
        <w:br w:type="page"/>
      </w:r>
    </w:p>
    <w:p>
      <w:pPr>
        <w:pStyle w:val="Heading1"/>
        <w:spacing w:after="160" w:before="360"/>
      </w:pPr>
      <w:r>
        <w:rPr>
          <w:rFonts w:ascii="Calibri" w:cs="Calibri" w:eastAsia="Calibri" w:hAnsi="Calibri"/>
          <w:b/>
          <w:bCs/>
          <w:color w:val="1B1B3A"/>
          <w:sz w:val="32"/>
          <w:szCs w:val="32"/>
        </w:rPr>
        <w:t xml:space="preserve">4. Lead capture and routing</w:t>
      </w:r>
    </w:p>
    <w:p>
      <w:pPr>
        <w:spacing w:after="120" w:before="0"/>
      </w:pPr>
      <w:r>
        <w:rPr>
          <w:rFonts w:ascii="Calibri" w:cs="Calibri" w:eastAsia="Calibri" w:hAnsi="Calibri"/>
          <w:sz w:val="21"/>
          <w:szCs w:val="21"/>
        </w:rPr>
        <w:t xml:space="preserve">Three capture points, one per level of buyer readiness. A page with a single "contact us" loses everyone who isn’t ready to talk today — that is where a sustainable pipeline comes from.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400"/>
        <w:gridCol w:w="2860"/>
      </w:tblGrid>
      <w:tr>
        <w:trPr>
          <w:tblHeader/>
        </w:trPr>
        <w:tc>
          <w:tcPr>
            <w:tcW w:type="dxa" w:w="1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Readiness</w:t>
            </w:r>
          </w:p>
        </w:tc>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 state</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w:t>
            </w:r>
          </w:p>
        </w:tc>
        <w:tc>
          <w:tcPr>
            <w:tcW w:type="dxa" w:w="2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Fields</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High</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 system in mind, and a budget or deadline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 hero, role cards 1 and 2, band</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 work email · company · company size · role (pre-filled from role card) · one-line system summary</w:t>
            </w:r>
          </w:p>
        </w:tc>
      </w:tr>
      <w:tr>
        <w:tc>
          <w:tcPr>
            <w:tcW w:type="dxa" w:w="1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Medium</w:t>
            </w:r>
          </w:p>
        </w:tc>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Knows there’s a problem, not ready to scope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Triage — hero, role card 3, band</w:t>
            </w:r>
          </w:p>
        </w:tc>
        <w:tc>
          <w:tcPr>
            <w:tcW w:type="dxa" w:w="2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Eight fields — below</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Researching, building a business case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Decision Guide PDF</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 only</w:t>
            </w:r>
          </w:p>
        </w:tc>
      </w:tr>
    </w:tbl>
    <w:p>
      <w:pPr>
        <w:pStyle w:val="Heading2"/>
        <w:spacing w:after="140" w:before="300"/>
      </w:pPr>
      <w:r>
        <w:rPr>
          <w:rFonts w:ascii="Calibri" w:cs="Calibri" w:eastAsia="Calibri" w:hAnsi="Calibri"/>
          <w:b/>
          <w:bCs/>
          <w:color w:val="2E5AAC"/>
          <w:sz w:val="26"/>
          <w:szCs w:val="26"/>
        </w:rPr>
        <w:t xml:space="preserve">Triage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1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5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Options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does the system do?</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and language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Placeholder: e.g. COBOL, RPG, Java 8, PHP application on a single server, on-premise database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Roughly how old is it?</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 years · 5–10 years · 10–20 years · 20+ years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What’s forcing the decision?</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Can’t integrate new systems · Data is hard to access · AI or analytics initiative blocked · Security or audit finding · Cost to maintain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Timeline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Already started · Within 6 months · 6–12 months · Exploring</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Your role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 of Data / CDO · CIO / CTO / Transformation lead · Head of Engineering or Platform · Security or risk · Other — pre-filled when arriving from a role card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50 · 50–499 · 500–999 · 1,000–10,000 · 10,000+</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Work email</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Email</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bl>
    <w:p>
      <w:pPr>
        <w:spacing w:after="120"/>
      </w:pPr>
      <w:r>
        <w:rPr>
          <w:sz w:val="2"/>
          <w:szCs w:val="2"/>
        </w:rPr>
        <w:t xml:space="preserve"/>
      </w:r>
    </w:p>
    <w:p>
      <w:pPr>
        <w:pStyle w:val="Heading2"/>
        <w:spacing w:after="140" w:before="300"/>
      </w:pPr>
      <w:r>
        <w:rPr>
          <w:rFonts w:ascii="Calibri" w:cs="Calibri" w:eastAsia="Calibri" w:hAnsi="Calibri"/>
          <w:b/>
          <w:bCs/>
          <w:color w:val="2E5AAC"/>
          <w:sz w:val="26"/>
          <w:szCs w:val="26"/>
        </w:rPr>
        <w:t xml:space="preserve">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w:t>
            </w:r>
          </w:p>
        </w:tc>
        <w:tc>
          <w:tcPr>
            <w:tcW w:type="dxa" w:w="3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 500+ AND forcing the decision = "AI or analytics initiative blocked", "Data is hard to access" or "Vendor support ending" AND timeline = "Already started" or "Within 6 months"</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Priority — solutions architect replies</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Data / CDO or CIO / CTO / Transformation lead, any size 500+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send the Decision Guide and the discovery page</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Engineering or Platform, company size 50–499</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 fits the platform-builder profile</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Company size under 50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Nurture only</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Platform mentions mainframe</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Solutions architect reviews fit before any reply</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Everything else</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then nurture sequence</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Pipeline risk. </w:t>
      </w:r>
      <w:r>
        <w:rPr>
          <w:rFonts w:ascii="Calibri" w:cs="Calibri" w:eastAsia="Calibri" w:hAnsi="Calibri"/>
          <w:color w:val="B02A2A"/>
          <w:sz w:val="19"/>
          <w:szCs w:val="19"/>
        </w:rPr>
        <w:t xml:space="preserve">The triage form promises a reply from a solutions architect. If no one owns those replies, the form produces dead leads and damages the brand. Assign a named owner and an internal response target before launch, or ship without the triage column.</w:t>
      </w:r>
    </w:p>
    <w:p>
      <w:pPr>
        <w:pStyle w:val="Heading2"/>
        <w:spacing w:after="140" w:before="300"/>
      </w:pPr>
      <w:r>
        <w:rPr>
          <w:rFonts w:ascii="Calibri" w:cs="Calibri" w:eastAsia="Calibri" w:hAnsi="Calibri"/>
          <w:b/>
          <w:bCs/>
          <w:color w:val="2E5AAC"/>
          <w:sz w:val="26"/>
          <w:szCs w:val="26"/>
        </w:rPr>
        <w:t xml:space="preserve">Why the guide is gated but the content isn’t</w:t>
      </w:r>
    </w:p>
    <w:p>
      <w:pPr>
        <w:spacing w:after="120" w:before="0"/>
      </w:pPr>
      <w:r>
        <w:rPr>
          <w:rFonts w:ascii="Calibri" w:cs="Calibri" w:eastAsia="Calibri" w:hAnsi="Calibri"/>
          <w:sz w:val="21"/>
          <w:szCs w:val="21"/>
        </w:rPr>
        <w:t xml:space="preserve">Everything in the Decision Guide is also on the page, ungated. That’s what search engines and AI engines index and cite. The PDF is a convenience version for a buyer taking it into a steering committee. Gating the substance would trade AI visibility for a handful of email addresses.</w:t>
      </w:r>
    </w:p>
    <w:p>
      <w:r>
        <w:br w:type="page"/>
      </w:r>
    </w:p>
    <w:p>
      <w:pPr>
        <w:pStyle w:val="Heading1"/>
        <w:spacing w:after="160" w:before="360"/>
      </w:pPr>
      <w:r>
        <w:rPr>
          <w:rFonts w:ascii="Calibri" w:cs="Calibri" w:eastAsia="Calibri" w:hAnsi="Calibri"/>
          <w:b/>
          <w:bCs/>
          <w:color w:val="1B1B3A"/>
          <w:sz w:val="32"/>
          <w:szCs w:val="32"/>
        </w:rPr>
        <w:t xml:space="preserve">5. Linked articles</w:t>
      </w:r>
    </w:p>
    <w:p>
      <w:pPr>
        <w:spacing w:after="120" w:before="0"/>
      </w:pPr>
      <w:r>
        <w:rPr>
          <w:rFonts w:ascii="Calibri" w:cs="Calibri" w:eastAsia="Calibri" w:hAnsi="Calibri"/>
          <w:sz w:val="21"/>
          <w:szCs w:val="21"/>
        </w:rPr>
        <w:t xml:space="preserve">Eight live xLoop articles overlap with this page. Each was read on 17 September 2026 and checked for unsourced statistics and xLoop claims before being recommended — linking a buyer to a contradicting claim undoes the page.</w:t>
      </w:r>
    </w:p>
    <w:p>
      <w:pPr>
        <w:spacing w:after="60"/>
      </w:pPr>
      <w:r>
        <w:rPr>
          <w:sz w:val="2"/>
          <w:szCs w:val="2"/>
        </w:rPr>
        <w:t xml:space="preserve"/>
      </w:r>
    </w:p>
    <w:p>
      <w:pPr>
        <w:pStyle w:val="Heading2"/>
        <w:spacing w:after="140" w:before="300"/>
      </w:pPr>
      <w:r>
        <w:rPr>
          <w:rFonts w:ascii="Calibri" w:cs="Calibri" w:eastAsia="Calibri" w:hAnsi="Calibri"/>
          <w:b/>
          <w:bCs/>
          <w:color w:val="2E5AAC"/>
          <w:sz w:val="26"/>
          <w:szCs w:val="26"/>
        </w:rPr>
        <w:t xml:space="preserve">5.1 Link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00"/>
        <w:gridCol w:w="2060"/>
      </w:tblGrid>
      <w:tr>
        <w:trPr>
          <w:tblHeader/>
        </w:trPr>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article</w:t>
            </w:r>
          </w:p>
        </w:tc>
        <w:tc>
          <w:tcPr>
            <w:tcW w:type="dxa" w:w="2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from this page</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on this page</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Add a link back with anchor</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Role of Generative AI in Accelerating Legacy System Modernization</w:t>
            </w:r>
          </w:p>
          <w:p>
            <w:pPr>
              <w:spacing w:after="40"/>
            </w:pPr>
            <w:r>
              <w:rPr>
                <w:rFonts w:ascii="Calibri" w:cs="Calibri" w:eastAsia="Calibri" w:hAnsi="Calibri"/>
                <w:sz w:val="19"/>
                <w:szCs w:val="19"/>
              </w:rPr>
              <w:t xml:space="preserve">xloopdigital.com/insights/blogs/the-role-of-generative-ai-in-accelerating-legacy-system-modernization</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AI in modernization · FAQ Q8</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generative AI in legacy system modernization</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Why Most Enterprise AI Projects Stall After the Pilot</w:t>
            </w:r>
          </w:p>
          <w:p>
            <w:pPr>
              <w:spacing w:after="40"/>
            </w:pPr>
            <w:r>
              <w:rPr>
                <w:rFonts w:ascii="Calibri" w:cs="Calibri" w:eastAsia="Calibri" w:hAnsi="Calibri"/>
                <w:sz w:val="19"/>
                <w:szCs w:val="19"/>
              </w:rPr>
              <w:t xml:space="preserve">xloopdigital.com/insights/blogs/why-enterprise-ai-projects-stall</w:t>
            </w:r>
          </w:p>
        </w:tc>
        <w:tc>
          <w:tcPr>
            <w:tcW w:type="dxa" w:w="2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§3.6 Modernizing for AI · FAQ Q6</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why enterprise AI projects stall after the pilot</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Building Scalable AI Infrastructure: Lessons from Real-World Implementations</w:t>
            </w:r>
          </w:p>
          <w:p>
            <w:pPr>
              <w:spacing w:after="40"/>
            </w:pPr>
            <w:r>
              <w:rPr>
                <w:rFonts w:ascii="Calibri" w:cs="Calibri" w:eastAsia="Calibri" w:hAnsi="Calibri"/>
                <w:sz w:val="19"/>
                <w:szCs w:val="19"/>
              </w:rPr>
              <w:t xml:space="preserve">xloopdigital.com/insights/blogs/building-scalable-ai-infrastructure-real-world-lessons</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 table, row "Reliable response at machine volume"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AI-ready infrastructure</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infrastructure modernization</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Why Data Quality Is the Real Backbone of AI Success</w:t>
            </w:r>
          </w:p>
          <w:p>
            <w:pPr>
              <w:spacing w:after="40"/>
            </w:pPr>
            <w:r>
              <w:rPr>
                <w:rFonts w:ascii="Calibri" w:cs="Calibri" w:eastAsia="Calibri" w:hAnsi="Calibri"/>
                <w:sz w:val="19"/>
                <w:szCs w:val="19"/>
              </w:rPr>
              <w:t xml:space="preserve">xloopdigital.com/insights/blogs/why-data-quality-is-the-real-backbone-of-ai-success</w:t>
            </w:r>
          </w:p>
        </w:tc>
        <w:tc>
          <w:tcPr>
            <w:tcW w:type="dxa" w:w="2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1 · FAQ Q15</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quality for AI</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modernization</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Unheard Benefits of Cloud Migration for Your Business</w:t>
            </w:r>
          </w:p>
          <w:p>
            <w:pPr>
              <w:spacing w:after="40"/>
            </w:pPr>
            <w:r>
              <w:rPr>
                <w:rFonts w:ascii="Calibri" w:cs="Calibri" w:eastAsia="Calibri" w:hAnsi="Calibri"/>
                <w:sz w:val="19"/>
                <w:szCs w:val="19"/>
              </w:rPr>
              <w:t xml:space="preserve">xloopdigital.com/insights/blogs/the-unheard-benefits-of-cloud-migration-for-your-business</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§3.4 table, Rehost and Replatform rows · FAQ Q14</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benefits of cloud migration</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discovery</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Anchor text rule. </w:t>
      </w:r>
      <w:r>
        <w:rPr>
          <w:rFonts w:ascii="Calibri" w:cs="Calibri" w:eastAsia="Calibri" w:hAnsi="Calibri"/>
          <w:i/>
          <w:iCs/>
          <w:color w:val="5A5A6E"/>
          <w:sz w:val="19"/>
          <w:szCs w:val="19"/>
        </w:rPr>
        <w:t xml:space="preserve">Only the generative AI article uses the exact term "legacy system modernization services" in its link back. The others use varied anchors so the page doesn’t look over-optimized.</w:t>
      </w:r>
    </w:p>
    <w:p>
      <w:pPr>
        <w:spacing w:after="160" w:before="80"/>
      </w:pPr>
      <w:r>
        <w:rPr>
          <w:rFonts w:ascii="Calibri" w:cs="Calibri" w:eastAsia="Calibri" w:hAnsi="Calibri"/>
          <w:b/>
          <w:bCs/>
          <w:color w:val="5A5A6E"/>
          <w:sz w:val="19"/>
          <w:szCs w:val="19"/>
        </w:rPr>
        <w:t xml:space="preserve">Refresh opportunity. </w:t>
      </w:r>
      <w:r>
        <w:rPr>
          <w:rFonts w:ascii="Calibri" w:cs="Calibri" w:eastAsia="Calibri" w:hAnsi="Calibri"/>
          <w:i/>
          <w:iCs/>
          <w:color w:val="5A5A6E"/>
          <w:sz w:val="19"/>
          <w:szCs w:val="19"/>
        </w:rPr>
        <w:t xml:space="preserve">The generative AI article (July 2025) supports its argument only with other companies’ stories — Khan Academy, Citi and unnamed banks. Adding xLoop’s own anonymized COBOL-to-Java case would turn it from general commentary into proof, and it already covers COBOL and AS/400.</w:t>
      </w:r>
    </w:p>
    <w:p>
      <w:pPr>
        <w:pStyle w:val="Heading2"/>
        <w:spacing w:after="140" w:before="300"/>
      </w:pPr>
      <w:r>
        <w:rPr>
          <w:rFonts w:ascii="Calibri" w:cs="Calibri" w:eastAsia="Calibri" w:hAnsi="Calibri"/>
          <w:b/>
          <w:bCs/>
          <w:color w:val="2E5AAC"/>
          <w:sz w:val="26"/>
          <w:szCs w:val="26"/>
        </w:rPr>
        <w:t xml:space="preserve">5.2 Fix before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00"/>
        <w:gridCol w:w="16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article</w:t>
            </w:r>
          </w:p>
        </w:tc>
        <w:tc>
          <w:tcPr>
            <w:tcW w:type="dxa" w:w="2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Why it can’t be linked yet</w:t>
            </w:r>
          </w:p>
        </w:tc>
        <w:tc>
          <w:tcPr>
            <w:tcW w:type="dxa" w:w="2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Fix</w:t>
            </w:r>
          </w:p>
        </w:tc>
        <w:tc>
          <w:tcPr>
            <w:tcW w:type="dxa" w:w="16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 link from</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Enterprise Data Transformation: Building Future-Proof, AI-Driven Strategies</w:t>
            </w:r>
          </w:p>
          <w:p>
            <w:pPr>
              <w:spacing w:after="40"/>
            </w:pPr>
            <w:r>
              <w:rPr>
                <w:rFonts w:ascii="Calibri" w:cs="Calibri" w:eastAsia="Calibri" w:hAnsi="Calibri"/>
                <w:sz w:val="19"/>
                <w:szCs w:val="19"/>
              </w:rPr>
              <w:t xml:space="preserve">xloopdigital.com/insights/blogs/enterprise-Data-Transformation-Building-Future-Proof-AI-Driven-Strategies</w:t>
            </w:r>
          </w:p>
        </w:tc>
        <w:tc>
          <w:tcPr>
            <w:tcW w:type="dxa" w:w="2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a "large-scale retail transformation" let the client "predict seasonal demand with over 90% accuracy, significantly reducing inventory costs." Unsourced, not on the approved claims list, and it contradicts the retailer case as the CTO described it. "90% of organizations" is also unsourced. The URL contains capital letters.</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Replace the retail sentence with the approved outcome (one source of truth for reporting, analysis, data science and AI); source or remove the 90% figure; move to a lowercase URL with a 301 redirect</w:t>
            </w:r>
          </w:p>
        </w:tc>
        <w:tc>
          <w:tcPr>
            <w:tcW w:type="dxa" w:w="1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Retailer case card and FAQ Q15, anchor "single source of truth for enterprise data"</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Data Challenges in AI Projects and How to Overcome Them</w:t>
            </w:r>
          </w:p>
          <w:p>
            <w:pPr>
              <w:spacing w:after="40"/>
            </w:pPr>
            <w:r>
              <w:rPr>
                <w:rFonts w:ascii="Calibri" w:cs="Calibri" w:eastAsia="Calibri" w:hAnsi="Calibri"/>
                <w:sz w:val="19"/>
                <w:szCs w:val="19"/>
              </w:rPr>
              <w:t xml:space="preserve">xloopdigital.com/insights/blogs/common-data-challenges-in-ai-projects</w:t>
            </w:r>
          </w:p>
        </w:tc>
        <w:tc>
          <w:tcPr>
            <w:tcW w:type="dxa" w:w="2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"Up to 20–30% better model performance" and "cut costs by 50% or more" have no source.</w:t>
            </w:r>
          </w:p>
        </w:tc>
        <w:tc>
          <w:tcPr>
            <w:tcW w:type="dxa" w:w="2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Source both figures or remove them</w:t>
            </w:r>
          </w:p>
        </w:tc>
        <w:tc>
          <w:tcPr>
            <w:tcW w:type="dxa" w:w="1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§3.6 table, row "Data it can read", anchor "integrating data from multiple sources"</w:t>
            </w:r>
          </w:p>
        </w:tc>
      </w:tr>
    </w:tbl>
    <w:p>
      <w:pPr>
        <w:pStyle w:val="Heading2"/>
        <w:spacing w:after="140" w:before="300"/>
      </w:pPr>
      <w:r>
        <w:rPr>
          <w:rFonts w:ascii="Calibri" w:cs="Calibri" w:eastAsia="Calibri" w:hAnsi="Calibri"/>
          <w:b/>
          <w:bCs/>
          <w:color w:val="2E5AAC"/>
          <w:sz w:val="26"/>
          <w:szCs w:val="26"/>
        </w:rPr>
        <w:t xml:space="preserve">5.3 Do not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article</w:t>
            </w:r>
          </w:p>
        </w:tc>
        <w:tc>
          <w:tcPr>
            <w:tcW w:type="dxa" w:w="5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Reason</w:t>
            </w:r>
          </w:p>
        </w:tc>
      </w:tr>
      <w:tr>
        <w:tc>
          <w:tcPr>
            <w:tcW w:type="dxa" w:w="3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AI-Led Data Migration Can Help Reduce Carbon Footprint</w:t>
            </w:r>
          </w:p>
          <w:p>
            <w:pPr>
              <w:spacing w:after="40"/>
            </w:pPr>
            <w:r>
              <w:rPr>
                <w:rFonts w:ascii="Calibri" w:cs="Calibri" w:eastAsia="Calibri" w:hAnsi="Calibri"/>
                <w:sz w:val="19"/>
                <w:szCs w:val="19"/>
              </w:rPr>
              <w:t xml:space="preserve">xloopdigital.com/insights/blogs/ai-led-data-migration-reduce-carbon-footprint</w:t>
            </w:r>
          </w:p>
        </w:tc>
        <w:tc>
          <w:tcPr>
            <w:tcW w:type="dxa" w:w="5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Sustainability angle, not a buyer’s modernization question. Three unsourced statistics, one of them another vendor’s results (HCLTech).</w:t>
            </w:r>
          </w:p>
        </w:tc>
      </w:tr>
    </w:tbl>
    <w:p>
      <w:pPr>
        <w:pStyle w:val="Heading2"/>
        <w:spacing w:after="140" w:before="300"/>
      </w:pPr>
      <w:r>
        <w:rPr>
          <w:rFonts w:ascii="Calibri" w:cs="Calibri" w:eastAsia="Calibri" w:hAnsi="Calibri"/>
          <w:b/>
          <w:bCs/>
          <w:color w:val="2E5AAC"/>
          <w:sz w:val="26"/>
          <w:szCs w:val="26"/>
        </w:rPr>
        <w:t xml:space="preserve">5.4 New articles — build later</w:t>
      </w:r>
    </w:p>
    <w:p>
      <w:pPr>
        <w:spacing w:after="120" w:before="0"/>
      </w:pPr>
      <w:r>
        <w:rPr>
          <w:rFonts w:ascii="Calibri" w:cs="Calibri" w:eastAsia="Calibri" w:hAnsi="Calibri"/>
          <w:sz w:val="21"/>
          <w:szCs w:val="21"/>
        </w:rPr>
        <w:t xml:space="preserve">None of these exist yet. Where an existing article already covers the topic, refresh it instead of writing a second post that would compete with it in search.</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900"/>
        <w:gridCol w:w="1900"/>
        <w:gridCol w:w="17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3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Article</w:t>
            </w:r>
          </w:p>
        </w:tc>
        <w:tc>
          <w:tcPr>
            <w:tcW w:type="dxa" w:w="1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Written for</w:t>
            </w:r>
          </w:p>
        </w:tc>
        <w:tc>
          <w:tcPr>
            <w:tcW w:type="dxa" w:w="1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to this page</w:t>
            </w:r>
          </w:p>
        </w:tc>
        <w:tc>
          <w:tcPr>
            <w:tcW w:type="dxa" w:w="1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overlap</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Replatform, Refactor or Re-architect? How to Choose for Each Legacy System</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approaches</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Modernize a Legacy System Without Downtime</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CTOs worried about disruption</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legacy modernization</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Migrating COBOL to Java With AI: What Changes and What Still Needs Engineers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and CIOs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COBOL to Java migration</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Refresh the generative AI article first (§5.1); write this as its case-led companion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Build a Business Case for Modernizing a Legacy System</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transformation leaders</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business case</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migration benefits article is adjacent, not the same</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Should You Modernize Before You Start an AI Project?</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CIOs and heads of data</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before AI</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Why AI projects stall covers the problem, not this decision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Migrate Legacy Data Sources Without Breaking Your Reports</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Heads of data</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data sources</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When to Wrap a Legacy System in APIs Instead of Migrating It</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CTOs and platform leaders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API layer for legacy systems</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Upgrading From Java 8: Why It’s a Modernization Project, Not a Version Bump</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modernization</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bl>
    <w:p>
      <w:pPr>
        <w:spacing w:after="160" w:before="80"/>
      </w:pPr>
      <w:r>
        <w:rPr>
          <w:rFonts w:ascii="Calibri" w:cs="Calibri" w:eastAsia="Calibri" w:hAnsi="Calibri"/>
          <w:b/>
          <w:bCs/>
          <w:color w:val="5A5A6E"/>
          <w:sz w:val="19"/>
          <w:szCs w:val="19"/>
        </w:rPr>
        <w:t xml:space="preserve">Dropped. </w:t>
      </w:r>
      <w:r>
        <w:rPr>
          <w:rFonts w:ascii="Calibri" w:cs="Calibri" w:eastAsia="Calibri" w:hAnsi="Calibri"/>
          <w:i/>
          <w:iCs/>
          <w:color w:val="5A5A6E"/>
          <w:sz w:val="19"/>
          <w:szCs w:val="19"/>
        </w:rPr>
        <w:t xml:space="preserve">The earlier "What AI can and can’t do" and "many sources of truth to one" ideas are not new articles: they belong in refreshes of the generative AI and enterprise data transformation articles.</w:t>
      </w:r>
    </w:p>
    <w:p>
      <w:pPr>
        <w:pStyle w:val="Heading1"/>
        <w:spacing w:after="160" w:before="360"/>
      </w:pPr>
      <w:r>
        <w:rPr>
          <w:rFonts w:ascii="Calibri" w:cs="Calibri" w:eastAsia="Calibri" w:hAnsi="Calibri"/>
          <w:b/>
          <w:bCs/>
          <w:color w:val="1B1B3A"/>
          <w:sz w:val="32"/>
          <w:szCs w:val="32"/>
        </w:rPr>
        <w:t xml:space="preserve">6. Keywords and competitive position</w:t>
      </w:r>
    </w:p>
    <w:p>
      <w:pPr>
        <w:spacing w:after="160" w:before="80"/>
      </w:pPr>
      <w:r>
        <w:rPr>
          <w:rFonts w:ascii="Calibri" w:cs="Calibri" w:eastAsia="Calibri" w:hAnsi="Calibri"/>
          <w:b/>
          <w:bCs/>
          <w:color w:val="5A5A6E"/>
          <w:sz w:val="19"/>
          <w:szCs w:val="19"/>
        </w:rPr>
        <w:t xml:space="preserve">Method note. </w:t>
      </w:r>
      <w:r>
        <w:rPr>
          <w:rFonts w:ascii="Calibri" w:cs="Calibri" w:eastAsia="Calibri" w:hAnsi="Calibri"/>
          <w:i/>
          <w:iCs/>
          <w:color w:val="5A5A6E"/>
          <w:sz w:val="19"/>
          <w:szCs w:val="19"/>
        </w:rPr>
        <w:t xml:space="preserve">xLoop has no keyword volume tool. Priorities are reasoned from search results and intent, not measured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tcW w:type="dxa" w:w="6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Terms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application modernization services · legacy software modernization · application modernization consulting · modernize legacy systems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Questions (each is an H2 or FAQ)</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is legacy system modernization · rehost vs refactor vs re-architect · modernize without downtime · how long it takes · what it costs · modernize before AI · no documentation · can AI convert legacy code · which systems not to modernize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Owned angles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 · legacy system blocking AI · API layer for legacy systems · legacy data modernization for analytics · COBOL to Java migration · AI-assisted COBOL modernization · RPG modernization · Java 8 upgrade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Regional long-tail</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UAE · Saudi Arabia · Pakistan — served by the at-a-glance block and schema, not separate pages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Paid search negatives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 mainframe replacement</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Competitive summary</w:t>
      </w:r>
    </w:p>
    <w:p>
      <w:pPr>
        <w:spacing w:after="120" w:before="0"/>
      </w:pPr>
      <w:r>
        <w:rPr>
          <w:rFonts w:ascii="Calibri" w:cs="Calibri" w:eastAsia="Calibri" w:hAnsi="Calibri"/>
          <w:sz w:val="21"/>
          <w:szCs w:val="21"/>
        </w:rPr>
        <w:t xml:space="preserve">Compared: Itransition, Vention, ELEKS, Softura (page-one rankers) and 10Pearls (closest regional competitor).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Finding</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this page does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Table stakes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All have a definition, an approaches list, a 3–5 step process, case studies and an FAQ</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all of them</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Best practice</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Vention answers real buyer fears and states discovery duration; Softura names who it’s for; Itransition answers cost and timeline; Vention and Softura offer tiered capture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all four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argues AI is the reason to modernize now</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says which systems to leave alone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§3.5, FAQ Q13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is candid about what AI can’t do in modernization</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FAQ Q8–9</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offers the API layer as a buyer option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§3.4 callout, article 7</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publishes a machine-readable at-a-glance block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§3.11</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Differentiator</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of the five pages reviewed shows a delivered AI-assisted COBOL-to-Java migration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§3.8, §3.9, role card 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xLoop weaker</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Competitors claim broad legacy stacks, 8–15 named cases, metrics, decades of tenure and company certifications</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Competes on depth and candor instead; names what it has delivered and what isn’t a fit</w:t>
            </w:r>
          </w:p>
        </w:tc>
      </w:tr>
    </w:tbl>
    <w:p>
      <w:r>
        <w:br w:type="page"/>
      </w:r>
    </w:p>
    <w:p>
      <w:pPr>
        <w:pStyle w:val="Heading1"/>
        <w:spacing w:after="160" w:before="360"/>
      </w:pPr>
      <w:r>
        <w:rPr>
          <w:rFonts w:ascii="Calibri" w:cs="Calibri" w:eastAsia="Calibri" w:hAnsi="Calibri"/>
          <w:b/>
          <w:bCs/>
          <w:color w:val="1B1B3A"/>
          <w:sz w:val="32"/>
          <w:szCs w:val="32"/>
        </w:rPr>
        <w:t xml:space="preserve">7. Schema outline</w:t>
      </w:r>
    </w:p>
    <w:p>
      <w:pPr>
        <w:spacing w:after="120" w:before="0"/>
      </w:pPr>
      <w:r>
        <w:rPr>
          <w:rFonts w:ascii="Calibri" w:cs="Calibri" w:eastAsia="Calibri" w:hAnsi="Calibri"/>
          <w:sz w:val="21"/>
          <w:szCs w:val="21"/>
        </w:rPr>
        <w:t xml:space="preserve">Emit as expanded JSON-LD in the server-rendered HTML.</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Key properties</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Legacy System Modernization · serviceType: Legacy system modernization · provider: xLoop Organization @id · areaServed: Asia, Middle East, Africa, Europe, North America · audience: BusinessAudience (CIOs, CTOs, heads of data and platform engineering) · hasOfferCatalog: the nine approaches from §3.4 · offers: Offer named "Legacy Modernization Discovery", url #start</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FAQPage</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15 questions and answers, text identical to the page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BreadcrumbList</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Organization</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Sitewide — name, url, logo, sameAs social profiles, the four office addresses</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Schema rules. </w:t>
      </w:r>
      <w:r>
        <w:rPr>
          <w:rFonts w:ascii="Calibri" w:cs="Calibri" w:eastAsia="Calibri" w:hAnsi="Calibri"/>
          <w:color w:val="B02A2A"/>
          <w:sz w:val="19"/>
          <w:szCs w:val="19"/>
        </w:rPr>
        <w:t xml:space="preserve">No price on any Offer. areaServed uses regions, not a country list — the country count is still an unresolved claim. Schema text must match visible page text exactly.</w:t>
      </w:r>
    </w:p>
    <w:p>
      <w:pPr>
        <w:pStyle w:val="Heading1"/>
        <w:spacing w:after="160" w:before="360"/>
      </w:pPr>
      <w:r>
        <w:rPr>
          <w:rFonts w:ascii="Calibri" w:cs="Calibri" w:eastAsia="Calibri" w:hAnsi="Calibri"/>
          <w:b/>
          <w:bCs/>
          <w:color w:val="1B1B3A"/>
          <w:sz w:val="32"/>
          <w:szCs w:val="32"/>
        </w:rPr>
        <w:t xml:space="preserve">8. Launch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5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Assign a named owner and an internal response target for triage replies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Sales / Solutions</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Triage column and form</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AI-tool use agreement step to engagement kickoff, and confirm the data controls on Cursor and Claude accounts used for client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 Q9 and §3.8</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 lead reads §3.7 (including the per-role discovery outputs), role card 1, and FAQ Q3, Q7, Q10, Q11, Q15 — the method statements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the Decision Guide PDF from §3.4, §3.5, §3.6 and §3.11</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Design</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Third CTA column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llms.txt at the site root</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AI-agent discoverability</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 this page before the Digital Transformation hub links to it</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Hub launch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Fix the two §5.2 articles: remove the unsourced 90% retail claim and lowercase that URL; source or remove the two statistics in the data challenges article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Linking those articles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9</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Add links back from the five §5.1 articles to this page, using the anchors given</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link equity</w:t>
            </w:r>
          </w:p>
        </w:tc>
      </w:tr>
    </w:tbl>
    <w:p>
      <w:pPr>
        <w:pStyle w:val="Heading1"/>
        <w:spacing w:after="160" w:before="360"/>
      </w:pPr>
      <w:r>
        <w:rPr>
          <w:rFonts w:ascii="Calibri" w:cs="Calibri" w:eastAsia="Calibri" w:hAnsi="Calibri"/>
          <w:b/>
          <w:bCs/>
          <w:color w:val="1B1B3A"/>
          <w:sz w:val="32"/>
          <w:szCs w:val="32"/>
        </w:rPr>
        <w:t xml:space="preserve">9. Do not publish</w:t>
      </w:r>
    </w:p>
    <w:p>
      <w:pPr>
        <w:spacing w:after="120" w:before="0"/>
      </w:pPr>
      <w:r>
        <w:rPr>
          <w:rFonts w:ascii="Calibri" w:cs="Calibri" w:eastAsia="Calibri" w:hAnsi="Calibri"/>
          <w:b/>
          <w:bCs/>
          <w:sz w:val="21"/>
          <w:szCs w:val="21"/>
        </w:rPr>
        <w:t xml:space="preserve">Each of these is unconfirmed, unsourced or belongs to someone else.</w:t>
      </w:r>
    </w:p>
    <w:p>
      <w:pPr>
        <w:spacing w:after="60"/>
      </w:pPr>
      <w:r>
        <w:rPr>
          <w:sz w:val="2"/>
          <w:szCs w:val="2"/>
        </w:rPr>
        <w:t xml:space="preserve"/>
      </w:r>
    </w:p>
    <w:p>
      <w:pPr>
        <w:pStyle w:val="ListParagraph"/>
        <w:numPr>
          <w:ilvl w:val="0"/>
          <w:numId w:val="2"/>
        </w:numPr>
        <w:spacing w:after="80"/>
      </w:pPr>
      <w:r>
        <w:rPr>
          <w:rFonts w:ascii="Calibri" w:cs="Calibri" w:eastAsia="Calibri" w:hAnsi="Calibri"/>
          <w:sz w:val="21"/>
          <w:szCs w:val="21"/>
        </w:rPr>
        <w:t xml:space="preserve">Any legacy technology not in the §3.10 table — .NET Framework, Oracle, mainframe, VB6/Access — or Microsoft Azure as a delivered target.</w:t>
      </w:r>
    </w:p>
    <w:p>
      <w:pPr>
        <w:pStyle w:val="ListParagraph"/>
        <w:numPr>
          <w:ilvl w:val="0"/>
          <w:numId w:val="2"/>
        </w:numPr>
        <w:spacing w:after="80"/>
      </w:pPr>
      <w:r>
        <w:rPr>
          <w:rFonts w:ascii="Calibri" w:cs="Calibri" w:eastAsia="Calibri" w:hAnsi="Calibri"/>
          <w:sz w:val="21"/>
          <w:szCs w:val="21"/>
        </w:rPr>
        <w:t xml:space="preserve">IBM i or AS/400 as the platform of the RPG case. Believed likely, not confirmed.</w:t>
      </w:r>
    </w:p>
    <w:p>
      <w:pPr>
        <w:pStyle w:val="ListParagraph"/>
        <w:numPr>
          <w:ilvl w:val="0"/>
          <w:numId w:val="2"/>
        </w:numPr>
        <w:spacing w:after="80"/>
      </w:pPr>
      <w:r>
        <w:rPr>
          <w:rFonts w:ascii="Calibri" w:cs="Calibri" w:eastAsia="Calibri" w:hAnsi="Calibri"/>
          <w:sz w:val="21"/>
          <w:szCs w:val="21"/>
        </w:rPr>
        <w:t xml:space="preserve">Any client name for the four case cards. Only Cloud Titans may be named, via its signed testimonial.</w:t>
      </w:r>
    </w:p>
    <w:p>
      <w:pPr>
        <w:pStyle w:val="ListParagraph"/>
        <w:numPr>
          <w:ilvl w:val="0"/>
          <w:numId w:val="2"/>
        </w:numPr>
        <w:spacing w:after="80"/>
      </w:pPr>
      <w:r>
        <w:rPr>
          <w:rFonts w:ascii="Calibri" w:cs="Calibri" w:eastAsia="Calibri" w:hAnsi="Calibri"/>
          <w:sz w:val="21"/>
          <w:szCs w:val="21"/>
        </w:rPr>
        <w:t xml:space="preserve">"Zero downtime", "no downtime", "uninterrupted performance". The approved phrase is "minimal operational disruption", for the RPG case only.</w:t>
      </w:r>
    </w:p>
    <w:p>
      <w:pPr>
        <w:pStyle w:val="ListParagraph"/>
        <w:numPr>
          <w:ilvl w:val="0"/>
          <w:numId w:val="2"/>
        </w:numPr>
        <w:spacing w:after="80"/>
      </w:pPr>
      <w:r>
        <w:rPr>
          <w:rFonts w:ascii="Calibri" w:cs="Calibri" w:eastAsia="Calibri" w:hAnsi="Calibri"/>
          <w:sz w:val="21"/>
          <w:szCs w:val="21"/>
        </w:rPr>
        <w:t xml:space="preserve">"Real-time" on the retailer case. The outcome was one source of truth for reporting, analytics, data science and AI — not real-time reporting.</w:t>
      </w:r>
    </w:p>
    <w:p>
      <w:pPr>
        <w:pStyle w:val="ListParagraph"/>
        <w:numPr>
          <w:ilvl w:val="0"/>
          <w:numId w:val="2"/>
        </w:numPr>
        <w:spacing w:after="80"/>
      </w:pPr>
      <w:r>
        <w:rPr>
          <w:rFonts w:ascii="Calibri" w:cs="Calibri" w:eastAsia="Calibri" w:hAnsi="Calibri"/>
          <w:sz w:val="21"/>
          <w:szCs w:val="21"/>
        </w:rPr>
        <w:t xml:space="preserve">The Java 19 version number. Java 19 is a short-term release that is no longer supported, so a technical buyer would question it. Use "a modern Java release".</w:t>
      </w:r>
    </w:p>
    <w:p>
      <w:pPr>
        <w:pStyle w:val="ListParagraph"/>
        <w:numPr>
          <w:ilvl w:val="0"/>
          <w:numId w:val="2"/>
        </w:numPr>
        <w:spacing w:after="80"/>
      </w:pPr>
      <w:r>
        <w:rPr>
          <w:rFonts w:ascii="Calibri" w:cs="Calibri" w:eastAsia="Calibri" w:hAnsi="Calibri"/>
          <w:sz w:val="21"/>
          <w:szCs w:val="21"/>
        </w:rPr>
        <w:t xml:space="preserve">The client names behind the case cards: SS&amp;C, Pick n Pay and IRD.</w:t>
      </w:r>
    </w:p>
    <w:p>
      <w:pPr>
        <w:pStyle w:val="ListParagraph"/>
        <w:numPr>
          <w:ilvl w:val="0"/>
          <w:numId w:val="2"/>
        </w:numPr>
        <w:spacing w:after="80"/>
      </w:pPr>
      <w:r>
        <w:rPr>
          <w:rFonts w:ascii="Calibri" w:cs="Calibri" w:eastAsia="Calibri" w:hAnsi="Calibri"/>
          <w:sz w:val="21"/>
          <w:szCs w:val="21"/>
        </w:rPr>
        <w:t xml:space="preserve">The "over 90% accuracy" seasonal demand claim from the enterprise data transformation article. It is unsourced and conflicts with the retailer case.</w:t>
      </w:r>
    </w:p>
    <w:p>
      <w:pPr>
        <w:pStyle w:val="ListParagraph"/>
        <w:numPr>
          <w:ilvl w:val="0"/>
          <w:numId w:val="2"/>
        </w:numPr>
        <w:spacing w:after="80"/>
      </w:pPr>
      <w:r>
        <w:rPr>
          <w:rFonts w:ascii="Calibri" w:cs="Calibri" w:eastAsia="Calibri" w:hAnsi="Calibri"/>
          <w:sz w:val="21"/>
          <w:szCs w:val="21"/>
        </w:rPr>
        <w:t xml:space="preserve">Any association with the World Health Organization on the immunization case. It is unconfirmed, and naming WHO would imply an endorsement xLoop cannot evidence.</w:t>
      </w:r>
    </w:p>
    <w:p>
      <w:pPr>
        <w:pStyle w:val="ListParagraph"/>
        <w:numPr>
          <w:ilvl w:val="0"/>
          <w:numId w:val="2"/>
        </w:numPr>
        <w:spacing w:after="80"/>
      </w:pPr>
      <w:r>
        <w:rPr>
          <w:rFonts w:ascii="Calibri" w:cs="Calibri" w:eastAsia="Calibri" w:hAnsi="Calibri"/>
          <w:sz w:val="21"/>
          <w:szCs w:val="21"/>
        </w:rPr>
        <w:t xml:space="preserve">"Real-time analytics" on the immunization case. It appears in older deck copy but is unverified, and the same wording proved wrong on the retailer case.</w:t>
      </w:r>
    </w:p>
    <w:p>
      <w:pPr>
        <w:pStyle w:val="ListParagraph"/>
        <w:numPr>
          <w:ilvl w:val="0"/>
          <w:numId w:val="2"/>
        </w:numPr>
        <w:spacing w:after="80"/>
      </w:pPr>
      <w:r>
        <w:rPr>
          <w:rFonts w:ascii="Calibri" w:cs="Calibri" w:eastAsia="Calibri" w:hAnsi="Calibri"/>
          <w:sz w:val="21"/>
          <w:szCs w:val="21"/>
        </w:rPr>
        <w:t xml:space="preserve">Any percentage or statistic, including the 30% utility figure in older case copy.</w:t>
      </w:r>
    </w:p>
    <w:p>
      <w:pPr>
        <w:pStyle w:val="ListParagraph"/>
        <w:numPr>
          <w:ilvl w:val="0"/>
          <w:numId w:val="2"/>
        </w:numPr>
        <w:spacing w:after="80"/>
      </w:pPr>
      <w:r>
        <w:rPr>
          <w:rFonts w:ascii="Calibri" w:cs="Calibri" w:eastAsia="Calibri" w:hAnsi="Calibri"/>
          <w:sz w:val="21"/>
          <w:szCs w:val="21"/>
        </w:rPr>
        <w:t xml:space="preserve">Pricing of any kind, including per-phase pricing.</w:t>
      </w:r>
    </w:p>
    <w:p>
      <w:pPr>
        <w:pStyle w:val="ListParagraph"/>
        <w:numPr>
          <w:ilvl w:val="0"/>
          <w:numId w:val="2"/>
        </w:numPr>
        <w:spacing w:after="80"/>
      </w:pPr>
      <w:r>
        <w:rPr>
          <w:rFonts w:ascii="Calibri" w:cs="Calibri" w:eastAsia="Calibri" w:hAnsi="Calibri"/>
          <w:sz w:val="21"/>
          <w:szCs w:val="21"/>
        </w:rPr>
        <w:t xml:space="preserve">"ISO 27001 certified" or "ISO 42001 certified". Only "certified ISO 27001 and ISO 42001 Lead Auditors".</w:t>
      </w:r>
    </w:p>
    <w:p>
      <w:pPr>
        <w:pStyle w:val="ListParagraph"/>
        <w:numPr>
          <w:ilvl w:val="0"/>
          <w:numId w:val="2"/>
        </w:numPr>
        <w:spacing w:after="80"/>
      </w:pPr>
      <w:r>
        <w:rPr>
          <w:rFonts w:ascii="Calibri" w:cs="Calibri" w:eastAsia="Calibri" w:hAnsi="Calibri"/>
          <w:sz w:val="21"/>
          <w:szCs w:val="21"/>
        </w:rPr>
        <w:t xml:space="preserve">Anthropic or Cursor logos, or any wording implying a partnership with either.</w:t>
      </w:r>
    </w:p>
    <w:p>
      <w:pPr>
        <w:pStyle w:val="ListParagraph"/>
        <w:numPr>
          <w:ilvl w:val="0"/>
          <w:numId w:val="2"/>
        </w:numPr>
        <w:spacing w:after="80"/>
      </w:pPr>
      <w:r>
        <w:rPr>
          <w:rFonts w:ascii="Calibri" w:cs="Calibri" w:eastAsia="Calibri" w:hAnsi="Calibri"/>
          <w:sz w:val="21"/>
          <w:szCs w:val="21"/>
        </w:rPr>
        <w:t xml:space="preserve">Microsoft Fabric, or any Microsoft Solutions Partner designation.</w:t>
      </w:r>
    </w:p>
    <w:p>
      <w:pPr>
        <w:pStyle w:val="ListParagraph"/>
        <w:numPr>
          <w:ilvl w:val="0"/>
          <w:numId w:val="2"/>
        </w:numPr>
        <w:spacing w:after="80"/>
      </w:pPr>
      <w:r>
        <w:rPr>
          <w:rFonts w:ascii="Calibri" w:cs="Calibri" w:eastAsia="Calibri" w:hAnsi="Calibri"/>
          <w:sz w:val="21"/>
          <w:szCs w:val="21"/>
        </w:rPr>
        <w:t xml:space="preserve">Founding year, headcount, country count, or years of experience.</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asked for the evidence behind any sentence on this page,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 Modernization Page — Content Specification</dc:title>
  <dc:creator>xLoop Marketing</dc:creator>
  <dc:description>Content specification for design and development</dc:description>
  <cp:lastModifiedBy>Un-named</cp:lastModifiedBy>
  <cp:revision>1</cp:revision>
  <dcterms:created xsi:type="dcterms:W3CDTF">2026-09-18T05:12:54.520Z</dcterms:created>
  <dcterms:modified xsi:type="dcterms:W3CDTF">2026-09-18T05:12:54.520Z</dcterms:modified>
</cp:coreProperties>
</file>

<file path=docProps/custom.xml><?xml version="1.0" encoding="utf-8"?>
<Properties xmlns="http://schemas.openxmlformats.org/officeDocument/2006/custom-properties" xmlns:vt="http://schemas.openxmlformats.org/officeDocument/2006/docPropsVTypes"/>
</file>