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0"/>
          <w:szCs w:val="20"/>
        </w:rPr>
        <w:t xml:space="preserve">xLoop Digital · Blog update for dev</w:t>
      </w:r>
    </w:p>
    <w:p>
      <w:pPr>
        <w:pStyle w:val="Title"/>
        <w:spacing w:after="120"/>
      </w:pPr>
      <w:r>
        <w:rPr>
          <w:rFonts w:ascii="Calibri" w:cs="Calibri" w:eastAsia="Calibri" w:hAnsi="Calibri"/>
        </w:rPr>
        <w:t xml:space="preserve">NEPRA IT/OT Security Regulations: blog update</w:t>
      </w:r>
    </w:p>
    <w:p>
      <w:pPr>
        <w:spacing w:after="120"/>
      </w:pPr>
      <w:r>
        <w:rPr>
          <w:rFonts w:ascii="Calibri" w:cs="Calibri" w:eastAsia="Calibri" w:hAnsi="Calibri"/>
        </w:rPr>
        <w:t xml:space="preserve">Replace the content of the existing blog post below with the content in Part 2. The URL stays the same, so no redirect is needed.</w:t>
      </w:r>
    </w:p>
    <w:p>
      <w:pPr>
        <w:pStyle w:val="Heading1"/>
        <w:keepNext/>
        <w:spacing w:after="120" w:before="240"/>
      </w:pPr>
      <w:r>
        <w:rPr>
          <w:rFonts w:ascii="Calibri" w:cs="Calibri" w:eastAsia="Calibri" w:hAnsi="Calibri"/>
        </w:rPr>
        <w:t xml:space="preserve">Part 1: Page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Field</w:t>
            </w:r>
          </w:p>
        </w:tc>
        <w:tc>
          <w:tcPr>
            <w:tcW w:type="dxa" w:w="656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Value</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Page URL (unchanged)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pfpbun-fjczi4ft7n0bzw">
              <w:r>
                <w:rPr>
                  <w:rFonts w:ascii="Calibri" w:cs="Calibri" w:eastAsia="Calibri" w:hAnsi="Calibri"/>
                  <w:color w:val="0563C1"/>
                  <w:u w:val="single"/>
                </w:rPr>
                <w:t xml:space="preserve">xloopdigital.com/insights/blogs/why-ot-it-security-cant-be-an-afterthought-in-digital-transformation</w:t>
              </w:r>
            </w:hyperlink>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Title tag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NEPRA IT/OT Security Regulations: Duties and Audit</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Meta description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What the NEPRA Security of IT and OT Regulations 2022 require, Regulation by Regulation, and how an IT/OT audit runs on a live plant without disruption.</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H1</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NEPRA IT/OT Security Regulations: What Power Companies Must Do, and What an Audit Looks Like</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Author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Muhammad Humza, ISO 27001 and ISO 42001 Lead Auditor</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Technical reviewer (shown under byline)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Farrukh Feroze</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Dates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Keep the original publish date (May 7, 2026). Show "Updated [date]" using the date this update goes live.</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Category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Cybersecurity (unchanged)</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Read time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8-minute read</w:t>
            </w:r>
          </w:p>
        </w:tc>
      </w:tr>
    </w:tbl>
    <w:p>
      <w:pPr>
        <w:pStyle w:val="Heading2"/>
        <w:keepNext/>
        <w:spacing w:after="120" w:before="240"/>
      </w:pPr>
      <w:r>
        <w:rPr>
          <w:rFonts w:ascii="Calibri" w:cs="Calibri" w:eastAsia="Calibri" w:hAnsi="Calibri"/>
        </w:rPr>
        <w:t xml:space="preserve">Remove from the current page</w:t>
      </w:r>
    </w:p>
    <w:p>
      <w:pPr>
        <w:pStyle w:val="ListParagraph"/>
        <w:numPr>
          <w:ilvl w:val="0"/>
          <w:numId w:val="2"/>
        </w:numPr>
        <w:spacing w:after="60"/>
      </w:pPr>
      <w:r>
        <w:rPr>
          <w:rFonts w:ascii="Calibri" w:cs="Calibri" w:eastAsia="Calibri" w:hAnsi="Calibri"/>
        </w:rPr>
        <w:t xml:space="preserve">All existing body copy (replaced by Part 2)</w:t>
      </w:r>
    </w:p>
    <w:p>
      <w:pPr>
        <w:pStyle w:val="ListParagraph"/>
        <w:numPr>
          <w:ilvl w:val="0"/>
          <w:numId w:val="2"/>
        </w:numPr>
        <w:spacing w:after="60"/>
      </w:pPr>
      <w:r>
        <w:rPr>
          <w:rFonts w:ascii="Calibri" w:cs="Calibri" w:eastAsia="Calibri" w:hAnsi="Calibri"/>
        </w:rPr>
        <w:t xml:space="preserve">The contact form block ("Preparing for audits…" and the form). Replace it with the two CTA boxes in Part 2, which use phone and email links</w:t>
      </w:r>
    </w:p>
    <w:p>
      <w:pPr>
        <w:pStyle w:val="ListParagraph"/>
        <w:numPr>
          <w:ilvl w:val="0"/>
          <w:numId w:val="2"/>
        </w:numPr>
        <w:spacing w:after="60"/>
      </w:pPr>
      <w:r>
        <w:rPr>
          <w:rFonts w:ascii="Calibri" w:cs="Calibri" w:eastAsia="Calibri" w:hAnsi="Calibri"/>
        </w:rPr>
        <w:t xml:space="preserve">The existing three FAQs (replaced by the six FAQs in Part 2)</w:t>
      </w:r>
    </w:p>
    <w:p>
      <w:pPr>
        <w:pStyle w:val="ListParagraph"/>
        <w:numPr>
          <w:ilvl w:val="0"/>
          <w:numId w:val="2"/>
        </w:numPr>
        <w:spacing w:after="60"/>
      </w:pPr>
      <w:r>
        <w:rPr>
          <w:rFonts w:ascii="Calibri" w:cs="Calibri" w:eastAsia="Calibri" w:hAnsi="Calibri"/>
        </w:rPr>
        <w:t xml:space="preserve">The author card text for Farrukh Feroze Ali. Replace it with Muhammad Humza's author card (photo and bio to be supplied by marketing)</w:t>
      </w:r>
    </w:p>
    <w:p>
      <w:pPr>
        <w:pStyle w:val="Heading2"/>
        <w:keepNext/>
        <w:spacing w:after="120" w:before="240"/>
      </w:pPr>
      <w:r>
        <w:rPr>
          <w:rFonts w:ascii="Calibri" w:cs="Calibri" w:eastAsia="Calibri" w:hAnsi="Calibri"/>
        </w:rPr>
        <w:t xml:space="preserve">Build notes</w:t>
      </w:r>
    </w:p>
    <w:p>
      <w:pPr>
        <w:pStyle w:val="ListParagraph"/>
        <w:numPr>
          <w:ilvl w:val="0"/>
          <w:numId w:val="2"/>
        </w:numPr>
        <w:spacing w:after="60"/>
      </w:pPr>
      <w:r>
        <w:rPr>
          <w:rFonts w:ascii="Calibri" w:cs="Calibri" w:eastAsia="Calibri" w:hAnsi="Calibri"/>
        </w:rPr>
        <w:t xml:space="preserve">Build the regulation table as a real HTML &lt;table&gt; with &lt;caption&gt;NEPRA IT/OT requirements by regulation&lt;/caption&gt;. Put each regulation name in the first cell as &lt;th scope="row"&gt;. Do not use an image</w:t>
      </w:r>
    </w:p>
    <w:p>
      <w:pPr>
        <w:pStyle w:val="ListParagraph"/>
        <w:numPr>
          <w:ilvl w:val="0"/>
          <w:numId w:val="2"/>
        </w:numPr>
        <w:spacing w:after="60"/>
      </w:pPr>
      <w:r>
        <w:rPr>
          <w:rFonts w:ascii="Calibri" w:cs="Calibri" w:eastAsia="Calibri" w:hAnsi="Calibri"/>
        </w:rPr>
        <w:t xml:space="preserve">Write regulation numbers as "Regulation 6", never "Reg. 6"</w:t>
      </w:r>
    </w:p>
    <w:p>
      <w:pPr>
        <w:pStyle w:val="ListParagraph"/>
        <w:numPr>
          <w:ilvl w:val="0"/>
          <w:numId w:val="2"/>
        </w:numPr>
        <w:spacing w:after="60"/>
      </w:pPr>
      <w:r>
        <w:rPr>
          <w:rFonts w:ascii="Calibri" w:cs="Calibri" w:eastAsia="Calibri" w:hAnsi="Calibri"/>
        </w:rPr>
        <w:t xml:space="preserve">FAQ questions are H3s under the FAQ H2, and the FAQ schema in Part 3 must match the on-page text word for word</w:t>
      </w:r>
    </w:p>
    <w:p>
      <w:pPr>
        <w:pStyle w:val="ListParagraph"/>
        <w:numPr>
          <w:ilvl w:val="0"/>
          <w:numId w:val="2"/>
        </w:numPr>
        <w:spacing w:after="60"/>
      </w:pPr>
      <w:r>
        <w:rPr>
          <w:rFonts w:ascii="Calibri" w:cs="Calibri" w:eastAsia="Calibri" w:hAnsi="Calibri"/>
        </w:rPr>
        <w:t xml:space="preserve">Phone links use tel:+922135869200. Email links use mailto:xsecurity@xloopdigital.com with the subject "NEPRA IT/OT Compliance Inquiry", the same as the NEPRA page</w:t>
      </w:r>
    </w:p>
    <w:p>
      <w:pPr>
        <w:pStyle w:val="ListParagraph"/>
        <w:numPr>
          <w:ilvl w:val="0"/>
          <w:numId w:val="2"/>
        </w:numPr>
        <w:spacing w:after="60"/>
      </w:pPr>
      <w:r>
        <w:rPr>
          <w:rFonts w:ascii="Calibri" w:cs="Calibri" w:eastAsia="Calibri" w:hAnsi="Calibri"/>
        </w:rPr>
        <w:t xml:space="preserve">Heading levels in Part 2 are labelled [H2] / [H3]. Labels in red are instructions, not page copy</w:t>
      </w:r>
    </w:p>
    <w:p>
      <w:pPr>
        <w:pStyle w:val="Heading1"/>
        <w:keepNext/>
        <w:spacing w:after="120" w:before="240"/>
      </w:pPr>
      <w:r>
        <w:rPr>
          <w:rFonts w:ascii="Calibri" w:cs="Calibri" w:eastAsia="Calibri" w:hAnsi="Calibri"/>
        </w:rPr>
        <w:t xml:space="preserve">Part 2: Page content</w:t>
      </w:r>
    </w:p>
    <w:p>
      <w:pPr>
        <w:keepNext/>
        <w:spacing w:after="60" w:before="120"/>
      </w:pPr>
      <w:r>
        <w:rPr>
          <w:rFonts w:ascii="Calibri" w:cs="Calibri" w:eastAsia="Calibri" w:hAnsi="Calibri"/>
          <w:b/>
          <w:bCs/>
          <w:color w:val="C00000"/>
          <w:sz w:val="18"/>
          <w:szCs w:val="18"/>
        </w:rPr>
        <w:t xml:space="preserve">[H1]</w:t>
      </w:r>
    </w:p>
    <w:p>
      <w:pPr>
        <w:spacing w:after="120"/>
      </w:pPr>
      <w:r>
        <w:rPr>
          <w:rFonts w:ascii="Calibri" w:cs="Calibri" w:eastAsia="Calibri" w:hAnsi="Calibri"/>
          <w:b/>
          <w:bCs/>
          <w:color w:val="1F4E79"/>
          <w:sz w:val="32"/>
          <w:szCs w:val="32"/>
        </w:rPr>
        <w:t xml:space="preserve">NEPRA IT/OT Security Regulations: What Power Companies Must Do, and What an Audit Looks Like</w:t>
      </w:r>
    </w:p>
    <w:p>
      <w:pPr>
        <w:keepNext/>
        <w:spacing w:after="60" w:before="120"/>
      </w:pPr>
      <w:r>
        <w:rPr>
          <w:rFonts w:ascii="Calibri" w:cs="Calibri" w:eastAsia="Calibri" w:hAnsi="Calibri"/>
          <w:b/>
          <w:bCs/>
          <w:color w:val="C00000"/>
          <w:sz w:val="18"/>
          <w:szCs w:val="18"/>
        </w:rPr>
        <w:t xml:space="preserve">[BYLINE]</w:t>
      </w:r>
    </w:p>
    <w:p>
      <w:pPr>
        <w:spacing w:after="120"/>
      </w:pPr>
      <w:r>
        <w:rPr>
          <w:rFonts w:ascii="Calibri" w:cs="Calibri" w:eastAsia="Calibri" w:hAnsi="Calibri"/>
          <w:i/>
          <w:iCs/>
        </w:rPr>
        <w:t xml:space="preserve">Updated [date] · By Muhammad Humza, ISO 27001 and ISO 42001 Lead Auditor · Technically reviewed by Farrukh Feroze</w:t>
      </w:r>
    </w:p>
    <w:p>
      <w:pPr>
        <w:keepNext/>
        <w:spacing w:after="60" w:before="120"/>
      </w:pPr>
      <w:r>
        <w:rPr>
          <w:rFonts w:ascii="Calibri" w:cs="Calibri" w:eastAsia="Calibri" w:hAnsi="Calibri"/>
          <w:b/>
          <w:bCs/>
          <w:color w:val="C00000"/>
          <w:sz w:val="18"/>
          <w:szCs w:val="18"/>
        </w:rPr>
        <w:t xml:space="preserve">[TL;DR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60"/>
            </w:pPr>
            <w:r>
              <w:rPr>
                <w:rFonts w:ascii="Calibri" w:cs="Calibri" w:eastAsia="Calibri" w:hAnsi="Calibri"/>
                <w:b/>
                <w:bCs/>
              </w:rPr>
              <w:t xml:space="preserve">TL;DR</w:t>
            </w:r>
          </w:p>
          <w:p>
            <w:pPr>
              <w:spacing w:after="60"/>
            </w:pPr>
            <w:r>
              <w:rPr>
                <w:rFonts w:ascii="Calibri" w:cs="Calibri" w:eastAsia="Calibri" w:hAnsi="Calibri"/>
              </w:rPr>
              <w:t xml:space="preserve">• The NEPRA Security of IT and OT Regulations 2022 apply to power-sector licensees and cover corporate IT and plant OT.</w:t>
            </w:r>
          </w:p>
          <w:p>
            <w:pPr>
              <w:spacing w:after="60"/>
            </w:pPr>
            <w:r>
              <w:rPr>
                <w:rFonts w:ascii="Calibri" w:cs="Calibri" w:eastAsia="Calibri" w:hAnsi="Calibri"/>
              </w:rPr>
              <w:t xml:space="preserve">• The operative duties are Regulations 4 to 11: governance, controls, risk assessment, data integrity, audit support, incident response, training and regulatory reporting.</w:t>
            </w:r>
          </w:p>
          <w:p>
            <w:pPr>
              <w:spacing w:after="60"/>
            </w:pPr>
            <w:r>
              <w:rPr>
                <w:rFonts w:ascii="Calibri" w:cs="Calibri" w:eastAsia="Calibri" w:hAnsi="Calibri"/>
              </w:rPr>
              <w:t xml:space="preserve">• Major incidents go to NEPRA within 72 hours. An audit can assess the plant passively, without taking anything offline.</w:t>
            </w:r>
          </w:p>
        </w:tc>
      </w:tr>
    </w:tbl>
    <w:p>
      <w:pPr>
        <w:spacing w:after="60"/>
      </w:pPr>
    </w:p>
    <w:p>
      <w:pPr>
        <w:keepNext/>
        <w:spacing w:after="60" w:before="120"/>
      </w:pPr>
      <w:r>
        <w:rPr>
          <w:rFonts w:ascii="Calibri" w:cs="Calibri" w:eastAsia="Calibri" w:hAnsi="Calibri"/>
          <w:b/>
          <w:bCs/>
          <w:color w:val="C00000"/>
          <w:sz w:val="18"/>
          <w:szCs w:val="18"/>
        </w:rPr>
        <w:t xml:space="preserve">[INTRO]</w:t>
      </w:r>
    </w:p>
    <w:p>
      <w:pPr>
        <w:spacing w:after="120"/>
      </w:pPr>
      <w:r>
        <w:rPr>
          <w:rFonts w:ascii="Calibri" w:cs="Calibri" w:eastAsia="Calibri" w:hAnsi="Calibri"/>
        </w:rPr>
        <w:t xml:space="preserve">The NEPRA Security of IT and OT Regulations 2022 (SRO 1708(I)/2022) require power-sector licensees to secure both corporate IT and plant OT, assess risk regularly, and report major incidents within 72 hours. An audit reviews governance, risks and IT/OT segregation, and can be done without disrupting plant operations.</w:t>
      </w:r>
    </w:p>
    <w:p>
      <w:pPr>
        <w:spacing w:after="120"/>
      </w:pPr>
      <w:r>
        <w:rPr>
          <w:rFonts w:ascii="Calibri" w:cs="Calibri" w:eastAsia="Calibri" w:hAnsi="Calibri"/>
        </w:rPr>
        <w:t xml:space="preserve">This guide explains what the regulations ask of a licensee, Regulation by Regulation, and then what an audit actually looks like on a plant that cannot go offline.</w:t>
      </w: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What are the NEPRA Security of IT and OT Regulations 2022?</w:t>
      </w:r>
    </w:p>
    <w:p>
      <w:pPr>
        <w:spacing w:after="120"/>
      </w:pPr>
      <w:r>
        <w:rPr>
          <w:rFonts w:ascii="Calibri" w:cs="Calibri" w:eastAsia="Calibri" w:hAnsi="Calibri"/>
        </w:rPr>
        <w:t xml:space="preserve">They are NEPRA's mandatory cybersecurity framework for its licensees, made under SRO 1708(I)/2022. Their full title is the NEPRA (Security of Information Technology and Operational Technology) Regulations, 2022.</w:t>
      </w:r>
    </w:p>
    <w:p>
      <w:pPr>
        <w:spacing w:after="120"/>
      </w:pPr>
      <w:r>
        <w:rPr>
          <w:rFonts w:ascii="Calibri" w:cs="Calibri" w:eastAsia="Calibri" w:hAnsi="Calibri"/>
        </w:rPr>
        <w:t xml:space="preserve">Regulations 1 to 3 cover the title, commencement and definitions. The obligations sit in Regulations 4 to 11:</w:t>
      </w:r>
    </w:p>
    <w:p>
      <w:pPr>
        <w:keepNext/>
        <w:spacing w:after="60" w:before="120"/>
      </w:pPr>
      <w:r>
        <w:rPr>
          <w:rFonts w:ascii="Calibri" w:cs="Calibri" w:eastAsia="Calibri" w:hAnsi="Calibri"/>
          <w:b/>
          <w:bCs/>
          <w:color w:val="C00000"/>
          <w:sz w:val="18"/>
          <w:szCs w:val="18"/>
        </w:rPr>
        <w:t xml:space="preserve">[TABLE — caption: NEPRA IT/OT requirements by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Regulation</w:t>
            </w:r>
          </w:p>
        </w:tc>
        <w:tc>
          <w:tcPr>
            <w:tcW w:type="dxa" w:w="636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What it requires of a licensee</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4: Security policy and governance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Approved policies and SOPs, a cybersecurity organization with a named lead, asset inventory and classification, change and patch procedures, business continuity, a reporting channel to NEPRA and PowerCERT</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5: Security controls implementation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Access management and least privilege, MFA, IT/OT segregation, firewalls and allow-listing, secure vendor remote access, endpoint and removable-media control, monitoring at OT boundaries, log retention, control-room access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6: Risk and vulnerability assessment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Regular IT and OT risk assessment, vulnerability assessment across SCADA and IT, identification of critical systems, a remediation program, reassessment after incidents or major change</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7: Data integrity and confidentiality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Controls over the authenticity of IT and OT data, secure data exchange with grid operators and ISMO, restricted access to critical telemetry</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8: Audit 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Readiness for a technical audit directed by NEPRA, with the evidence to support it</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9: Monitoring and incident response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Monitoring across IT and OT, an incident response plan that covers the plant and SCADA, response-team procedures, recovery, reporting to the National CERT and PowerCERT</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10: Awareness and training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Awareness programs for IT and OT staff, training for SCADA operators and engineers, clear roles and reporting lines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Regulation 11: Regulatory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Quarterly breach reporting to NEPRA, reporting of major incidents within 72 hours, documentation and correspondence with the Authority</w:t>
            </w:r>
          </w:p>
        </w:tc>
      </w:tr>
    </w:tbl>
    <w:p>
      <w:pPr>
        <w:spacing w:after="60"/>
      </w:pPr>
    </w:p>
    <w:p>
      <w:pPr>
        <w:spacing w:after="120"/>
      </w:pPr>
      <w:r>
        <w:rPr>
          <w:rFonts w:ascii="Calibri" w:cs="Calibri" w:eastAsia="Calibri" w:hAnsi="Calibri"/>
        </w:rPr>
        <w:t xml:space="preserve">The point that matters most for a board: responsibility sits with the licensee. It does not move to the OEM, the O&amp;M contractor or the systems integrator, even when they run the plant's control systems day to day.</w:t>
      </w: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Who must comply with the NEPRA IT/OT regulations?</w:t>
      </w:r>
    </w:p>
    <w:p>
      <w:pPr>
        <w:spacing w:after="120"/>
      </w:pPr>
      <w:r>
        <w:rPr>
          <w:rFonts w:ascii="Calibri" w:cs="Calibri" w:eastAsia="Calibri" w:hAnsi="Calibri"/>
        </w:rPr>
        <w:t xml:space="preserve">Every NEPRA licensee in Pakistan's power sector must comply: generation, transmission and distribution companies. That includes IPPs of every technology, from thermal to wind and solar.</w:t>
      </w:r>
    </w:p>
    <w:p>
      <w:pPr>
        <w:spacing w:after="120"/>
      </w:pPr>
      <w:r>
        <w:rPr>
          <w:rFonts w:ascii="Calibri" w:cs="Calibri" w:eastAsia="Calibri" w:hAnsi="Calibri"/>
        </w:rPr>
        <w:t xml:space="preserve">The regulations reach past the corporate network to the plant floor. In scope are SCADA, DCS, PLCs, RTUs, IEDs, HMIs, engineering workstations, and the communication links to ISMO and the national grid.</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What is OT security, and why is it different from IT security?</w:t>
      </w:r>
    </w:p>
    <w:p>
      <w:pPr>
        <w:spacing w:after="120"/>
      </w:pPr>
      <w:r>
        <w:rPr>
          <w:rFonts w:ascii="Calibri" w:cs="Calibri" w:eastAsia="Calibri" w:hAnsi="Calibri"/>
        </w:rPr>
        <w:t xml:space="preserve">Operational technology (OT) is the hardware and software that monitors and controls physical processes: SCADA systems, PLCs, protective relays and plant machinery. IT protects data. OT protects a running process and the people around it. An IT failure loses files; an OT failure can trip a unit or stop generation.</w:t>
      </w:r>
    </w:p>
    <w:p>
      <w:pPr>
        <w:spacing w:after="120"/>
      </w:pPr>
      <w:r>
        <w:rPr>
          <w:rFonts w:ascii="Calibri" w:cs="Calibri" w:eastAsia="Calibri" w:hAnsi="Calibri"/>
        </w:rPr>
        <w:t xml:space="preserve">That difference is why the regulations treat IT and OT separately, and why OT cannot be assessed the way an office network is. Many plant systems run on older hardware, cannot be patched without an outage, and were never designed to be scanned.</w:t>
      </w:r>
    </w:p>
    <w:p>
      <w:pPr>
        <w:keepNext/>
        <w:spacing w:after="60" w:before="120"/>
      </w:pPr>
      <w:r>
        <w:rPr>
          <w:rFonts w:ascii="Calibri" w:cs="Calibri" w:eastAsia="Calibri" w:hAnsi="Calibri"/>
          <w:b/>
          <w:bCs/>
          <w:color w:val="C00000"/>
          <w:sz w:val="18"/>
          <w:szCs w:val="18"/>
        </w:rPr>
        <w:t xml:space="preserve">[MID-POST CTA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1FA" w:color="auto" w:val="clear"/>
            <w:tcMar>
              <w:top w:type="dxa" w:w="120"/>
              <w:left w:type="dxa" w:w="160"/>
              <w:bottom w:type="dxa" w:w="120"/>
              <w:right w:type="dxa" w:w="160"/>
            </w:tcMar>
          </w:tcPr>
          <w:p>
            <w:pPr>
              <w:spacing w:after="60"/>
            </w:pPr>
            <w:r>
              <w:rPr>
                <w:rFonts w:ascii="Calibri" w:cs="Calibri" w:eastAsia="Calibri" w:hAnsi="Calibri"/>
                <w:b/>
                <w:bCs/>
              </w:rPr>
              <w:t xml:space="preserve">Not sure where you stand against Regulations 4 to 11?</w:t>
            </w:r>
            <w:r>
              <w:rPr>
                <w:rFonts w:ascii="Calibri" w:cs="Calibri" w:eastAsia="Calibri" w:hAnsi="Calibri"/>
              </w:rPr>
              <w:t xml:space="preserve"> See how we </w:t>
            </w:r>
            <w:hyperlink w:history="1" r:id="rIdg2icydwdrylyuirtk4p_n">
              <w:r>
                <w:rPr>
                  <w:rFonts w:ascii="Calibri" w:cs="Calibri" w:eastAsia="Calibri" w:hAnsi="Calibri"/>
                  <w:color w:val="0563C1"/>
                  <w:u w:val="single"/>
                </w:rPr>
                <w:t xml:space="preserve">audit licensees against the NEPRA IT/OT Regulations</w:t>
              </w:r>
            </w:hyperlink>
            <w:r>
              <w:rPr>
                <w:rFonts w:ascii="Calibri" w:cs="Calibri" w:eastAsia="Calibri" w:hAnsi="Calibri"/>
              </w:rPr>
              <w:t xml:space="preserve">, or call </w:t>
            </w:r>
            <w:hyperlink w:history="1" r:id="rIdgfnel-oge_saohnawwlte">
              <w:r>
                <w:rPr>
                  <w:rFonts w:ascii="Calibri" w:cs="Calibri" w:eastAsia="Calibri" w:hAnsi="Calibri"/>
                  <w:color w:val="0563C1"/>
                  <w:u w:val="single"/>
                </w:rPr>
                <w:t xml:space="preserve">(021) 35869200</w:t>
              </w:r>
            </w:hyperlink>
            <w:r>
              <w:rPr>
                <w:rFonts w:ascii="Calibri" w:cs="Calibri" w:eastAsia="Calibri" w:hAnsi="Calibri"/>
              </w:rPr>
              <w:t xml:space="preserve"> to book a NEPRA scoping call.</w:t>
            </w:r>
          </w:p>
        </w:tc>
      </w:tr>
    </w:tbl>
    <w:p>
      <w:pPr>
        <w:spacing w:after="60"/>
      </w:pP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What does a NEPRA IT/OT audit involve?</w:t>
      </w:r>
    </w:p>
    <w:p>
      <w:pPr>
        <w:spacing w:after="120"/>
      </w:pPr>
      <w:r>
        <w:rPr>
          <w:rFonts w:ascii="Calibri" w:cs="Calibri" w:eastAsia="Calibri" w:hAnsi="Calibri"/>
        </w:rPr>
        <w:t xml:space="preserve">An IT/OT audit checks your organization against each operative regulation, scores every clause, and tells you what to fix first. It covers governance, IT systems, plant OT, and the link between them.</w:t>
      </w:r>
    </w:p>
    <w:p>
      <w:pPr>
        <w:spacing w:after="120"/>
      </w:pPr>
      <w:r>
        <w:rPr>
          <w:rFonts w:ascii="Calibri" w:cs="Calibri" w:eastAsia="Calibri" w:hAnsi="Calibri"/>
        </w:rPr>
        <w:t xml:space="preserve">This is how we run one for a licensee:</w:t>
      </w:r>
    </w:p>
    <w:p>
      <w:pPr>
        <w:pStyle w:val="ListParagraph"/>
        <w:numPr>
          <w:ilvl w:val="0"/>
          <w:numId w:val="3"/>
        </w:numPr>
        <w:spacing w:after="60"/>
      </w:pPr>
      <w:r>
        <w:rPr>
          <w:rFonts w:ascii="Calibri" w:cs="Calibri" w:eastAsia="Calibri" w:hAnsi="Calibri"/>
          <w:b/>
          <w:bCs/>
        </w:rPr>
        <w:t xml:space="preserve">Scoping.</w:t>
      </w:r>
      <w:r>
        <w:rPr>
          <w:rFonts w:ascii="Calibri" w:cs="Calibri" w:eastAsia="Calibri" w:hAnsi="Calibri"/>
        </w:rPr>
        <w:t xml:space="preserve"> We list the sites, the OT estate and who operates what, including the OEM and O&amp;M contractor. We agree with plant management, in writing, which systems are not to be touched.</w:t>
      </w:r>
    </w:p>
    <w:p>
      <w:pPr>
        <w:pStyle w:val="ListParagraph"/>
        <w:numPr>
          <w:ilvl w:val="0"/>
          <w:numId w:val="3"/>
        </w:numPr>
        <w:spacing w:after="60"/>
      </w:pPr>
      <w:r>
        <w:rPr>
          <w:rFonts w:ascii="Calibri" w:cs="Calibri" w:eastAsia="Calibri" w:hAnsi="Calibri"/>
          <w:b/>
          <w:bCs/>
        </w:rPr>
        <w:t xml:space="preserve">Governance and document review (Regulations 4, 8, 9, 11).</w:t>
      </w:r>
      <w:r>
        <w:rPr>
          <w:rFonts w:ascii="Calibri" w:cs="Calibri" w:eastAsia="Calibri" w:hAnsi="Calibri"/>
        </w:rPr>
        <w:t xml:space="preserve"> Policies, SOPs, the named cybersecurity lead, the asset inventory, the incident response plan, business continuity, and past reports to NEPRA.</w:t>
      </w:r>
    </w:p>
    <w:p>
      <w:pPr>
        <w:pStyle w:val="ListParagraph"/>
        <w:numPr>
          <w:ilvl w:val="0"/>
          <w:numId w:val="3"/>
        </w:numPr>
        <w:spacing w:after="60"/>
      </w:pPr>
      <w:r>
        <w:rPr>
          <w:rFonts w:ascii="Calibri" w:cs="Calibri" w:eastAsia="Calibri" w:hAnsi="Calibri"/>
          <w:b/>
          <w:bCs/>
        </w:rPr>
        <w:t xml:space="preserve">Interviews.</w:t>
      </w:r>
      <w:r>
        <w:rPr>
          <w:rFonts w:ascii="Calibri" w:cs="Calibri" w:eastAsia="Calibri" w:hAnsi="Calibri"/>
        </w:rPr>
        <w:t xml:space="preserve"> Corporate IT, the control room, plant engineers and, where relevant, the O&amp;M contractor. Most gaps show up in how work is actually done, not in the policy.</w:t>
      </w:r>
    </w:p>
    <w:p>
      <w:pPr>
        <w:pStyle w:val="ListParagraph"/>
        <w:numPr>
          <w:ilvl w:val="0"/>
          <w:numId w:val="3"/>
        </w:numPr>
        <w:spacing w:after="60"/>
      </w:pPr>
      <w:r>
        <w:rPr>
          <w:rFonts w:ascii="Calibri" w:cs="Calibri" w:eastAsia="Calibri" w:hAnsi="Calibri"/>
          <w:b/>
          <w:bCs/>
        </w:rPr>
        <w:t xml:space="preserve">IT assessment (Regulations 5, 6).</w:t>
      </w:r>
      <w:r>
        <w:rPr>
          <w:rFonts w:ascii="Calibri" w:cs="Calibri" w:eastAsia="Calibri" w:hAnsi="Calibri"/>
        </w:rPr>
        <w:t xml:space="preserve"> Vulnerability assessment and penetration testing on corporate systems, scheduled with your IT team.</w:t>
      </w:r>
    </w:p>
    <w:p>
      <w:pPr>
        <w:pStyle w:val="ListParagraph"/>
        <w:numPr>
          <w:ilvl w:val="0"/>
          <w:numId w:val="3"/>
        </w:numPr>
        <w:spacing w:after="60"/>
      </w:pPr>
      <w:r>
        <w:rPr>
          <w:rFonts w:ascii="Calibri" w:cs="Calibri" w:eastAsia="Calibri" w:hAnsi="Calibri"/>
          <w:b/>
          <w:bCs/>
        </w:rPr>
        <w:t xml:space="preserve">Passive OT assessment (Regulations 5, 6, 7).</w:t>
      </w:r>
      <w:r>
        <w:rPr>
          <w:rFonts w:ascii="Calibri" w:cs="Calibri" w:eastAsia="Calibri" w:hAnsi="Calibri"/>
        </w:rPr>
        <w:t xml:space="preserve"> Configuration review, network diagrams, firewall rules between IT and OT, vendor remote-access paths, accounts and access records, and logs, plus a walk-through of the control room. No active scanning of live controllers.</w:t>
      </w:r>
    </w:p>
    <w:p>
      <w:pPr>
        <w:pStyle w:val="ListParagraph"/>
        <w:numPr>
          <w:ilvl w:val="0"/>
          <w:numId w:val="3"/>
        </w:numPr>
        <w:spacing w:after="60"/>
      </w:pPr>
      <w:r>
        <w:rPr>
          <w:rFonts w:ascii="Calibri" w:cs="Calibri" w:eastAsia="Calibri" w:hAnsi="Calibri"/>
          <w:b/>
          <w:bCs/>
        </w:rPr>
        <w:t xml:space="preserve">Gap analysis.</w:t>
      </w:r>
      <w:r>
        <w:rPr>
          <w:rFonts w:ascii="Calibri" w:cs="Calibri" w:eastAsia="Calibri" w:hAnsi="Calibri"/>
        </w:rPr>
        <w:t xml:space="preserve"> Each clause of Regulations 4 to 11 is scored against the evidence, and every gap is ranked by risk to the plant.</w:t>
      </w:r>
    </w:p>
    <w:p>
      <w:pPr>
        <w:pStyle w:val="ListParagraph"/>
        <w:numPr>
          <w:ilvl w:val="0"/>
          <w:numId w:val="3"/>
        </w:numPr>
        <w:spacing w:after="60"/>
      </w:pPr>
      <w:r>
        <w:rPr>
          <w:rFonts w:ascii="Calibri" w:cs="Calibri" w:eastAsia="Calibri" w:hAnsi="Calibri"/>
          <w:b/>
          <w:bCs/>
        </w:rPr>
        <w:t xml:space="preserve">Reporting.</w:t>
      </w:r>
      <w:r>
        <w:rPr>
          <w:rFonts w:ascii="Calibri" w:cs="Calibri" w:eastAsia="Calibri" w:hAnsi="Calibri"/>
        </w:rPr>
        <w:t xml:space="preserve"> Findings presented to management, with a remediation plan the plant team can schedule.</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Common gaps the audit looks for</w:t>
      </w:r>
    </w:p>
    <w:p>
      <w:pPr>
        <w:pStyle w:val="ListParagraph"/>
        <w:numPr>
          <w:ilvl w:val="0"/>
          <w:numId w:val="2"/>
        </w:numPr>
        <w:spacing w:after="60"/>
      </w:pPr>
      <w:r>
        <w:rPr>
          <w:rFonts w:ascii="Calibri" w:cs="Calibri" w:eastAsia="Calibri" w:hAnsi="Calibri"/>
          <w:b/>
          <w:bCs/>
        </w:rPr>
        <w:t xml:space="preserve">IT/OT segregation:</w:t>
      </w:r>
      <w:r>
        <w:rPr>
          <w:rFonts w:ascii="Calibri" w:cs="Calibri" w:eastAsia="Calibri" w:hAnsi="Calibri"/>
        </w:rPr>
        <w:t xml:space="preserve"> a flat path from the corporate network into the control layer</w:t>
      </w:r>
    </w:p>
    <w:p>
      <w:pPr>
        <w:pStyle w:val="ListParagraph"/>
        <w:numPr>
          <w:ilvl w:val="0"/>
          <w:numId w:val="2"/>
        </w:numPr>
        <w:spacing w:after="60"/>
      </w:pPr>
      <w:r>
        <w:rPr>
          <w:rFonts w:ascii="Calibri" w:cs="Calibri" w:eastAsia="Calibri" w:hAnsi="Calibri"/>
          <w:b/>
          <w:bCs/>
        </w:rPr>
        <w:t xml:space="preserve">Access control:</w:t>
      </w:r>
      <w:r>
        <w:rPr>
          <w:rFonts w:ascii="Calibri" w:cs="Calibri" w:eastAsia="Calibri" w:hAnsi="Calibri"/>
        </w:rPr>
        <w:t xml:space="preserve"> default or shared accounts on controllers, no MFA on remote access, vendor accounts that never expire</w:t>
      </w:r>
    </w:p>
    <w:p>
      <w:pPr>
        <w:pStyle w:val="ListParagraph"/>
        <w:numPr>
          <w:ilvl w:val="0"/>
          <w:numId w:val="2"/>
        </w:numPr>
        <w:spacing w:after="60"/>
      </w:pPr>
      <w:r>
        <w:rPr>
          <w:rFonts w:ascii="Calibri" w:cs="Calibri" w:eastAsia="Calibri" w:hAnsi="Calibri"/>
          <w:b/>
          <w:bCs/>
        </w:rPr>
        <w:t xml:space="preserve">Asset visibility:</w:t>
      </w:r>
      <w:r>
        <w:rPr>
          <w:rFonts w:ascii="Calibri" w:cs="Calibri" w:eastAsia="Calibri" w:hAnsi="Calibri"/>
        </w:rPr>
        <w:t xml:space="preserve"> no complete inventory of OT devices, so some are never monitored or patched</w:t>
      </w:r>
    </w:p>
    <w:p>
      <w:pPr>
        <w:pStyle w:val="ListParagraph"/>
        <w:numPr>
          <w:ilvl w:val="0"/>
          <w:numId w:val="2"/>
        </w:numPr>
        <w:spacing w:after="60"/>
      </w:pPr>
      <w:r>
        <w:rPr>
          <w:rFonts w:ascii="Calibri" w:cs="Calibri" w:eastAsia="Calibri" w:hAnsi="Calibri"/>
          <w:b/>
          <w:bCs/>
        </w:rPr>
        <w:t xml:space="preserve">Incident response:</w:t>
      </w:r>
      <w:r>
        <w:rPr>
          <w:rFonts w:ascii="Calibri" w:cs="Calibri" w:eastAsia="Calibri" w:hAnsi="Calibri"/>
        </w:rPr>
        <w:t xml:space="preserve"> a plan written for IT outages, with nothing on safe manual or isolated plant operation</w:t>
      </w:r>
    </w:p>
    <w:p>
      <w:pPr>
        <w:pStyle w:val="ListParagraph"/>
        <w:numPr>
          <w:ilvl w:val="0"/>
          <w:numId w:val="2"/>
        </w:numPr>
        <w:spacing w:after="60"/>
      </w:pPr>
      <w:r>
        <w:rPr>
          <w:rFonts w:ascii="Calibri" w:cs="Calibri" w:eastAsia="Calibri" w:hAnsi="Calibri"/>
          <w:b/>
          <w:bCs/>
        </w:rPr>
        <w:t xml:space="preserve">Training:</w:t>
      </w:r>
      <w:r>
        <w:rPr>
          <w:rFonts w:ascii="Calibri" w:cs="Calibri" w:eastAsia="Calibri" w:hAnsi="Calibri"/>
        </w:rPr>
        <w:t xml:space="preserve"> operations staff never trained on the attack scenarios that affect physical equipment</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What you receive</w:t>
      </w:r>
    </w:p>
    <w:p>
      <w:pPr>
        <w:spacing w:after="120"/>
      </w:pPr>
      <w:r>
        <w:rPr>
          <w:rFonts w:ascii="Calibri" w:cs="Calibri" w:eastAsia="Calibri" w:hAnsi="Calibri"/>
        </w:rPr>
        <w:t xml:space="preserve">A NEPRA compliance audit should produce six documents:</w:t>
      </w:r>
    </w:p>
    <w:p>
      <w:pPr>
        <w:pStyle w:val="ListParagraph"/>
        <w:numPr>
          <w:ilvl w:val="0"/>
          <w:numId w:val="2"/>
        </w:numPr>
        <w:spacing w:after="60"/>
      </w:pPr>
      <w:r>
        <w:rPr>
          <w:rFonts w:ascii="Calibri" w:cs="Calibri" w:eastAsia="Calibri" w:hAnsi="Calibri"/>
        </w:rPr>
        <w:t xml:space="preserve">A compliance report scored clause by clause against Regulations 4 to 11</w:t>
      </w:r>
    </w:p>
    <w:p>
      <w:pPr>
        <w:pStyle w:val="ListParagraph"/>
        <w:numPr>
          <w:ilvl w:val="0"/>
          <w:numId w:val="2"/>
        </w:numPr>
        <w:spacing w:after="60"/>
      </w:pPr>
      <w:r>
        <w:rPr>
          <w:rFonts w:ascii="Calibri" w:cs="Calibri" w:eastAsia="Calibri" w:hAnsi="Calibri"/>
        </w:rPr>
        <w:t xml:space="preserve">A risk and gap analysis</w:t>
      </w:r>
    </w:p>
    <w:p>
      <w:pPr>
        <w:pStyle w:val="ListParagraph"/>
        <w:numPr>
          <w:ilvl w:val="0"/>
          <w:numId w:val="2"/>
        </w:numPr>
        <w:spacing w:after="60"/>
      </w:pPr>
      <w:r>
        <w:rPr>
          <w:rFonts w:ascii="Calibri" w:cs="Calibri" w:eastAsia="Calibri" w:hAnsi="Calibri"/>
        </w:rPr>
        <w:t xml:space="preserve">A VAPT report covering IT and OT</w:t>
      </w:r>
    </w:p>
    <w:p>
      <w:pPr>
        <w:pStyle w:val="ListParagraph"/>
        <w:numPr>
          <w:ilvl w:val="0"/>
          <w:numId w:val="2"/>
        </w:numPr>
        <w:spacing w:after="60"/>
      </w:pPr>
      <w:r>
        <w:rPr>
          <w:rFonts w:ascii="Calibri" w:cs="Calibri" w:eastAsia="Calibri" w:hAnsi="Calibri"/>
        </w:rPr>
        <w:t xml:space="preserve">A Statement of Applicability</w:t>
      </w:r>
    </w:p>
    <w:p>
      <w:pPr>
        <w:pStyle w:val="ListParagraph"/>
        <w:numPr>
          <w:ilvl w:val="0"/>
          <w:numId w:val="2"/>
        </w:numPr>
        <w:spacing w:after="60"/>
      </w:pPr>
      <w:r>
        <w:rPr>
          <w:rFonts w:ascii="Calibri" w:cs="Calibri" w:eastAsia="Calibri" w:hAnsi="Calibri"/>
        </w:rPr>
        <w:t xml:space="preserve">A prioritized remediation roadmap</w:t>
      </w:r>
    </w:p>
    <w:p>
      <w:pPr>
        <w:pStyle w:val="ListParagraph"/>
        <w:numPr>
          <w:ilvl w:val="0"/>
          <w:numId w:val="2"/>
        </w:numPr>
        <w:spacing w:after="60"/>
      </w:pPr>
      <w:r>
        <w:rPr>
          <w:rFonts w:ascii="Calibri" w:cs="Calibri" w:eastAsia="Calibri" w:hAnsi="Calibri"/>
        </w:rPr>
        <w:t xml:space="preserve">A closing presentation for management</w:t>
      </w:r>
    </w:p>
    <w:p>
      <w:pPr>
        <w:spacing w:after="120"/>
      </w:pPr>
      <w:r>
        <w:rPr>
          <w:rFonts w:ascii="Calibri" w:cs="Calibri" w:eastAsia="Calibri" w:hAnsi="Calibri"/>
        </w:rPr>
        <w:t xml:space="preserve">The same file doubles as your evidence pack for Regulation 8, if NEPRA directs a technical audit.</w:t>
      </w:r>
    </w:p>
    <w:p>
      <w:pPr>
        <w:keepNext/>
        <w:spacing w:after="60" w:before="120"/>
      </w:pPr>
      <w:r>
        <w:rPr>
          <w:rFonts w:ascii="Calibri" w:cs="Calibri" w:eastAsia="Calibri" w:hAnsi="Calibri"/>
          <w:b/>
          <w:bCs/>
          <w:color w:val="C00000"/>
          <w:sz w:val="18"/>
          <w:szCs w:val="18"/>
        </w:rPr>
        <w:t xml:space="preserve">[PUBLISH ONLY IF MARKETING CONFIRMS — otherwise leave this sentence out]</w:t>
      </w:r>
    </w:p>
    <w:p>
      <w:pPr>
        <w:spacing w:after="120"/>
      </w:pPr>
      <w:r>
        <w:rPr>
          <w:rFonts w:ascii="Calibri" w:cs="Calibri" w:eastAsia="Calibri" w:hAnsi="Calibri"/>
          <w:highlight w:val="yellow"/>
        </w:rPr>
        <w:t xml:space="preserve">We ran this approach for a 30 MW wind IPP, covering the head office and two plant sites.</w:t>
      </w: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Will an audit disrupt plant operations?</w:t>
      </w:r>
    </w:p>
    <w:p>
      <w:pPr>
        <w:spacing w:after="120"/>
      </w:pPr>
      <w:r>
        <w:rPr>
          <w:rFonts w:ascii="Calibri" w:cs="Calibri" w:eastAsia="Calibri" w:hAnsi="Calibri"/>
        </w:rPr>
        <w:t xml:space="preserve">It should not. A properly scoped audit assesses OT passively: it reviews configurations, segmentation, access and logs instead of actively scanning live control systems. No plant downtime is required.</w:t>
      </w:r>
    </w:p>
    <w:p>
      <w:pPr>
        <w:spacing w:after="120"/>
      </w:pPr>
      <w:r>
        <w:rPr>
          <w:rFonts w:ascii="Calibri" w:cs="Calibri" w:eastAsia="Calibri" w:hAnsi="Calibri"/>
        </w:rPr>
        <w:t xml:space="preserve">Three rules keep it that way:</w:t>
      </w:r>
    </w:p>
    <w:p>
      <w:pPr>
        <w:pStyle w:val="ListParagraph"/>
        <w:numPr>
          <w:ilvl w:val="0"/>
          <w:numId w:val="2"/>
        </w:numPr>
        <w:spacing w:after="60"/>
      </w:pPr>
      <w:r>
        <w:rPr>
          <w:rFonts w:ascii="Calibri" w:cs="Calibri" w:eastAsia="Calibri" w:hAnsi="Calibri"/>
          <w:b/>
          <w:bCs/>
        </w:rPr>
        <w:t xml:space="preserve">Read, don't probe.</w:t>
      </w:r>
      <w:r>
        <w:rPr>
          <w:rFonts w:ascii="Calibri" w:cs="Calibri" w:eastAsia="Calibri" w:hAnsi="Calibri"/>
        </w:rPr>
        <w:t xml:space="preserve"> OT evidence comes from configuration exports, diagrams, rule sets and logs, collected with the plant team.</w:t>
      </w:r>
    </w:p>
    <w:p>
      <w:pPr>
        <w:pStyle w:val="ListParagraph"/>
        <w:numPr>
          <w:ilvl w:val="0"/>
          <w:numId w:val="2"/>
        </w:numPr>
        <w:spacing w:after="60"/>
      </w:pPr>
      <w:r>
        <w:rPr>
          <w:rFonts w:ascii="Calibri" w:cs="Calibri" w:eastAsia="Calibri" w:hAnsi="Calibri"/>
          <w:b/>
          <w:bCs/>
        </w:rPr>
        <w:t xml:space="preserve">The plant decides.</w:t>
      </w:r>
      <w:r>
        <w:rPr>
          <w:rFonts w:ascii="Calibri" w:cs="Calibri" w:eastAsia="Calibri" w:hAnsi="Calibri"/>
        </w:rPr>
        <w:t xml:space="preserve"> Anything that would need active testing on an OT system is agreed with plant management first and done only in a planned maintenance window, or left out.</w:t>
      </w:r>
    </w:p>
    <w:p>
      <w:pPr>
        <w:pStyle w:val="ListParagraph"/>
        <w:numPr>
          <w:ilvl w:val="0"/>
          <w:numId w:val="2"/>
        </w:numPr>
        <w:spacing w:after="60"/>
      </w:pPr>
      <w:r>
        <w:rPr>
          <w:rFonts w:ascii="Calibri" w:cs="Calibri" w:eastAsia="Calibri" w:hAnsi="Calibri"/>
          <w:b/>
          <w:bCs/>
        </w:rPr>
        <w:t xml:space="preserve">Active testing stays on IT.</w:t>
      </w:r>
      <w:r>
        <w:rPr>
          <w:rFonts w:ascii="Calibri" w:cs="Calibri" w:eastAsia="Calibri" w:hAnsi="Calibri"/>
        </w:rPr>
        <w:t xml:space="preserve"> Penetration testing runs on corporate systems, where it carries no risk to generation.</w:t>
      </w:r>
    </w:p>
    <w:p>
      <w:pPr>
        <w:spacing w:after="120"/>
      </w:pPr>
      <w:r>
        <w:rPr>
          <w:rFonts w:ascii="Calibri" w:cs="Calibri" w:eastAsia="Calibri" w:hAnsi="Calibri"/>
        </w:rPr>
        <w:t xml:space="preserve">This is the question plant managers ask first, and it should be answered in the scoping call, before any fieldwork is agreed.</w:t>
      </w: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When must incidents be reported to NEPRA?</w:t>
      </w:r>
    </w:p>
    <w:p>
      <w:pPr>
        <w:spacing w:after="120"/>
      </w:pPr>
      <w:r>
        <w:rPr>
          <w:rFonts w:ascii="Calibri" w:cs="Calibri" w:eastAsia="Calibri" w:hAnsi="Calibri"/>
        </w:rPr>
        <w:t xml:space="preserve">Major incidents must be reported to NEPRA within 72 hours of discovery. Breaches are also reported every quarter. Incidents affecting OT also go to the National CERT and PowerCERT.</w:t>
      </w:r>
    </w:p>
    <w:p>
      <w:pPr>
        <w:spacing w:after="120"/>
      </w:pPr>
      <w:r>
        <w:rPr>
          <w:rFonts w:ascii="Calibri" w:cs="Calibri" w:eastAsia="Calibri" w:hAnsi="Calibri"/>
        </w:rPr>
        <w:t xml:space="preserve">72 hours is a short window for a team that has never rehearsed it. In practice the clock depends on three things that the audit checks under Regulations 9 and 11:</w:t>
      </w:r>
    </w:p>
    <w:p>
      <w:pPr>
        <w:pStyle w:val="ListParagraph"/>
        <w:numPr>
          <w:ilvl w:val="0"/>
          <w:numId w:val="2"/>
        </w:numPr>
        <w:spacing w:after="60"/>
      </w:pPr>
      <w:r>
        <w:rPr>
          <w:rFonts w:ascii="Calibri" w:cs="Calibri" w:eastAsia="Calibri" w:hAnsi="Calibri"/>
        </w:rPr>
        <w:t xml:space="preserve">someone named who decides whether an event counts as a major incident</w:t>
      </w:r>
    </w:p>
    <w:p>
      <w:pPr>
        <w:pStyle w:val="ListParagraph"/>
        <w:numPr>
          <w:ilvl w:val="0"/>
          <w:numId w:val="2"/>
        </w:numPr>
        <w:spacing w:after="60"/>
      </w:pPr>
      <w:r>
        <w:rPr>
          <w:rFonts w:ascii="Calibri" w:cs="Calibri" w:eastAsia="Calibri" w:hAnsi="Calibri"/>
        </w:rPr>
        <w:t xml:space="preserve">a plant-specific response plan, including how to keep generating safely in a degraded mode</w:t>
      </w:r>
    </w:p>
    <w:p>
      <w:pPr>
        <w:pStyle w:val="ListParagraph"/>
        <w:numPr>
          <w:ilvl w:val="0"/>
          <w:numId w:val="2"/>
        </w:numPr>
        <w:spacing w:after="60"/>
      </w:pPr>
      <w:r>
        <w:rPr>
          <w:rFonts w:ascii="Calibri" w:cs="Calibri" w:eastAsia="Calibri" w:hAnsi="Calibri"/>
        </w:rPr>
        <w:t xml:space="preserve">a reporting template and contact route to NEPRA, the National CERT and PowerCERT, ready before it is needed</w:t>
      </w:r>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How xLoop can help</w:t>
      </w:r>
    </w:p>
    <w:p>
      <w:pPr>
        <w:spacing w:after="120"/>
      </w:pPr>
      <w:r>
        <w:rPr>
          <w:rFonts w:ascii="Calibri" w:cs="Calibri" w:eastAsia="Calibri" w:hAnsi="Calibri"/>
        </w:rPr>
        <w:t xml:space="preserve">xLoop's xSecurity team audits power-sector licensees against the NEPRA IT/OT Regulations 2022, and our team includes certified ISO 27001 and ISO 42001 Lead Auditors. Alongside the audit, we deliver IT and OT VAPT (Regulation 6), security policy frameworks (Regulation 4), and awareness and SCADA operator training (Regulation 10).</w:t>
      </w:r>
    </w:p>
    <w:p>
      <w:pPr>
        <w:pStyle w:val="ListParagraph"/>
        <w:numPr>
          <w:ilvl w:val="0"/>
          <w:numId w:val="2"/>
        </w:numPr>
        <w:spacing w:after="60"/>
      </w:pPr>
      <w:hyperlink w:history="1" r:id="rId8lmmxi5gjgcyy_mteeeec">
        <w:r>
          <w:rPr>
            <w:rFonts w:ascii="Calibri" w:cs="Calibri" w:eastAsia="Calibri" w:hAnsi="Calibri"/>
            <w:color w:val="0563C1"/>
            <w:u w:val="single"/>
          </w:rPr>
          <w:t xml:space="preserve">NEPRA IT/OT compliance services</w:t>
        </w:r>
      </w:hyperlink>
    </w:p>
    <w:p>
      <w:pPr>
        <w:pStyle w:val="ListParagraph"/>
        <w:numPr>
          <w:ilvl w:val="0"/>
          <w:numId w:val="2"/>
        </w:numPr>
        <w:spacing w:after="60"/>
      </w:pPr>
      <w:hyperlink w:history="1" r:id="rIdlpvtzmrnhn6dbpjmpixl0">
        <w:r>
          <w:rPr>
            <w:rFonts w:ascii="Calibri" w:cs="Calibri" w:eastAsia="Calibri" w:hAnsi="Calibri"/>
            <w:color w:val="0563C1"/>
            <w:u w:val="single"/>
          </w:rPr>
          <w:t xml:space="preserve">Cybersecurity services</w:t>
        </w:r>
      </w:hyperlink>
    </w:p>
    <w:p>
      <w:pPr>
        <w:pStyle w:val="ListParagraph"/>
        <w:numPr>
          <w:ilvl w:val="0"/>
          <w:numId w:val="2"/>
        </w:numPr>
        <w:spacing w:after="60"/>
      </w:pPr>
      <w:hyperlink w:history="1" r:id="rId5tfsdr0r63qce8eggke8h">
        <w:r>
          <w:rPr>
            <w:rFonts w:ascii="Calibri" w:cs="Calibri" w:eastAsia="Calibri" w:hAnsi="Calibri"/>
            <w:color w:val="0563C1"/>
            <w:u w:val="single"/>
          </w:rPr>
          <w:t xml:space="preserve">AI security services</w:t>
        </w:r>
      </w:hyperlink>
      <w:r>
        <w:rPr>
          <w:rFonts w:ascii="Calibri" w:cs="Calibri" w:eastAsia="Calibri" w:hAnsi="Calibri"/>
        </w:rPr>
        <w:t xml:space="preserve">, for licensees bringing AI into plant monitoring or maintenance</w:t>
      </w:r>
    </w:p>
    <w:p>
      <w:pPr>
        <w:pStyle w:val="ListParagraph"/>
        <w:numPr>
          <w:ilvl w:val="0"/>
          <w:numId w:val="2"/>
        </w:numPr>
        <w:spacing w:after="60"/>
      </w:pPr>
      <w:r>
        <w:rPr>
          <w:rFonts w:ascii="Calibri" w:cs="Calibri" w:eastAsia="Calibri" w:hAnsi="Calibri"/>
        </w:rPr>
        <w:t xml:space="preserve">Related reading: </w:t>
      </w:r>
      <w:hyperlink w:history="1" r:id="rIdpqc7rvdkq1b27qp_ulnzu">
        <w:r>
          <w:rPr>
            <w:rFonts w:ascii="Calibri" w:cs="Calibri" w:eastAsia="Calibri" w:hAnsi="Calibri"/>
            <w:color w:val="0563C1"/>
            <w:u w:val="single"/>
          </w:rPr>
          <w:t xml:space="preserve">AI governance and cybersecurity strategies for modern enterprises</w:t>
        </w:r>
      </w:hyperlink>
    </w:p>
    <w:p>
      <w:pPr>
        <w:keepNext/>
        <w:spacing w:after="60" w:before="120"/>
      </w:pPr>
      <w:r>
        <w:rPr>
          <w:rFonts w:ascii="Calibri" w:cs="Calibri" w:eastAsia="Calibri" w:hAnsi="Calibri"/>
          <w:b/>
          <w:bCs/>
          <w:color w:val="C00000"/>
          <w:sz w:val="18"/>
          <w:szCs w:val="18"/>
        </w:rPr>
        <w:t xml:space="preserve">[H2]</w:t>
      </w:r>
    </w:p>
    <w:p>
      <w:pPr>
        <w:pStyle w:val="Heading2"/>
        <w:keepNext/>
        <w:spacing w:after="120" w:before="240"/>
      </w:pPr>
      <w:r>
        <w:rPr>
          <w:rFonts w:ascii="Calibri" w:cs="Calibri" w:eastAsia="Calibri" w:hAnsi="Calibri"/>
        </w:rPr>
        <w:t xml:space="preserve">FAQs</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What are the NEPRA Security of IT and OT Regulations 2022?</w:t>
      </w:r>
    </w:p>
    <w:p>
      <w:pPr>
        <w:spacing w:after="120"/>
      </w:pPr>
      <w:r>
        <w:rPr>
          <w:rFonts w:ascii="Calibri" w:cs="Calibri" w:eastAsia="Calibri" w:hAnsi="Calibri"/>
        </w:rPr>
        <w:t xml:space="preserve">They are NEPRA's mandatory cybersecurity framework for power-sector licensees, made under SRO 1708(I)/2022. They cover governance and policy, security controls, risk and vulnerability assessment, data integrity, audit support, monitoring and incident response, training, and regulatory reporting.</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Who must comply with the NEPRA IT/OT regulations?</w:t>
      </w:r>
    </w:p>
    <w:p>
      <w:pPr>
        <w:spacing w:after="120"/>
      </w:pPr>
      <w:r>
        <w:rPr>
          <w:rFonts w:ascii="Calibri" w:cs="Calibri" w:eastAsia="Calibri" w:hAnsi="Calibri"/>
        </w:rPr>
        <w:t xml:space="preserve">Every NEPRA licensee in Pakistan's power sector: generation, transmission and distribution companies. The obligations cover both corporate IT and operational technology, including SCADA, DCS, PLCs and RTUs.</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What does a NEPRA IT/OT audit involve?</w:t>
      </w:r>
    </w:p>
    <w:p>
      <w:pPr>
        <w:spacing w:after="120"/>
      </w:pPr>
      <w:r>
        <w:rPr>
          <w:rFonts w:ascii="Calibri" w:cs="Calibri" w:eastAsia="Calibri" w:hAnsi="Calibri"/>
        </w:rPr>
        <w:t xml:space="preserve">Scoping, a review of governance documents, interviews, an IT vulnerability assessment, a passive OT assessment, and a clause-by-clause gap analysis against Regulations 4 to 11. It ends with a scored compliance report, a VAPT report and a prioritized remediation roadmap.</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Will an audit disrupt plant operations?</w:t>
      </w:r>
    </w:p>
    <w:p>
      <w:pPr>
        <w:spacing w:after="120"/>
      </w:pPr>
      <w:r>
        <w:rPr>
          <w:rFonts w:ascii="Calibri" w:cs="Calibri" w:eastAsia="Calibri" w:hAnsi="Calibri"/>
        </w:rPr>
        <w:t xml:space="preserve">It should not. A properly scoped NEPRA audit assesses OT passively, reviewing configurations, segmentation, access and logs rather than actively scanning live control systems. No plant downtime is required.</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When must incidents be reported to NEPRA?</w:t>
      </w:r>
    </w:p>
    <w:p>
      <w:pPr>
        <w:spacing w:after="120"/>
      </w:pPr>
      <w:r>
        <w:rPr>
          <w:rFonts w:ascii="Calibri" w:cs="Calibri" w:eastAsia="Calibri" w:hAnsi="Calibri"/>
        </w:rPr>
        <w:t xml:space="preserve">Major incidents must be reported within 72 hours of discovery, in addition to quarterly breach reporting to the Authority. Incidents affecting OT are also reported to the National CERT and PowerCERT.</w:t>
      </w:r>
    </w:p>
    <w:p>
      <w:pPr>
        <w:keepNext/>
        <w:spacing w:after="60" w:before="120"/>
      </w:pPr>
      <w:r>
        <w:rPr>
          <w:rFonts w:ascii="Calibri" w:cs="Calibri" w:eastAsia="Calibri" w:hAnsi="Calibri"/>
          <w:b/>
          <w:bCs/>
          <w:color w:val="C00000"/>
          <w:sz w:val="18"/>
          <w:szCs w:val="18"/>
        </w:rPr>
        <w:t xml:space="preserve">[H3]</w:t>
      </w:r>
    </w:p>
    <w:p>
      <w:pPr>
        <w:pStyle w:val="Heading3"/>
        <w:keepNext/>
        <w:spacing w:after="120" w:before="240"/>
      </w:pPr>
      <w:r>
        <w:rPr>
          <w:rFonts w:ascii="Calibri" w:cs="Calibri" w:eastAsia="Calibri" w:hAnsi="Calibri"/>
        </w:rPr>
        <w:t xml:space="preserve">How is IT security different from OT security?</w:t>
      </w:r>
    </w:p>
    <w:p>
      <w:pPr>
        <w:spacing w:after="120"/>
      </w:pPr>
      <w:r>
        <w:rPr>
          <w:rFonts w:ascii="Calibri" w:cs="Calibri" w:eastAsia="Calibri" w:hAnsi="Calibri"/>
        </w:rPr>
        <w:t xml:space="preserve">IT security protects data and its confidentiality. OT security protects a physical process and the people around it. An IT failure loses files; an OT failure can trip a unit or stop generation.</w:t>
      </w:r>
    </w:p>
    <w:p>
      <w:pPr>
        <w:keepNext/>
        <w:spacing w:after="60" w:before="120"/>
      </w:pPr>
      <w:r>
        <w:rPr>
          <w:rFonts w:ascii="Calibri" w:cs="Calibri" w:eastAsia="Calibri" w:hAnsi="Calibri"/>
          <w:b/>
          <w:bCs/>
          <w:color w:val="C00000"/>
          <w:sz w:val="18"/>
          <w:szCs w:val="18"/>
        </w:rPr>
        <w:t xml:space="preserve">[END CTA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1FA" w:color="auto" w:val="clear"/>
            <w:tcMar>
              <w:top w:type="dxa" w:w="120"/>
              <w:left w:type="dxa" w:w="160"/>
              <w:bottom w:type="dxa" w:w="120"/>
              <w:right w:type="dxa" w:w="160"/>
            </w:tcMar>
          </w:tcPr>
          <w:p>
            <w:pPr>
              <w:spacing w:after="60"/>
            </w:pPr>
            <w:r>
              <w:rPr>
                <w:rFonts w:ascii="Calibri" w:cs="Calibri" w:eastAsia="Calibri" w:hAnsi="Calibri"/>
                <w:b/>
                <w:bCs/>
              </w:rPr>
              <w:t xml:space="preserve">Book a NEPRA scoping call.</w:t>
            </w:r>
          </w:p>
          <w:p>
            <w:pPr>
              <w:spacing w:after="60"/>
            </w:pPr>
            <w:r>
              <w:rPr>
                <w:rFonts w:ascii="Calibri" w:cs="Calibri" w:eastAsia="Calibri" w:hAnsi="Calibri"/>
              </w:rPr>
              <w:t xml:space="preserve">Tell us your sites and your OT estate, and we'll tell you how the audit would run on your plant.</w:t>
            </w:r>
          </w:p>
          <w:p>
            <w:pPr>
              <w:spacing w:after="60"/>
            </w:pPr>
            <w:r>
              <w:rPr>
                <w:rFonts w:ascii="Calibri" w:cs="Calibri" w:eastAsia="Calibri" w:hAnsi="Calibri"/>
              </w:rPr>
              <w:t xml:space="preserve">Call </w:t>
            </w:r>
            <w:hyperlink w:history="1" r:id="rId7cjazwein4qs4wr5bmgla">
              <w:r>
                <w:rPr>
                  <w:rFonts w:ascii="Calibri" w:cs="Calibri" w:eastAsia="Calibri" w:hAnsi="Calibri"/>
                  <w:color w:val="0563C1"/>
                  <w:u w:val="single"/>
                </w:rPr>
                <w:t xml:space="preserve">(021) 35869200</w:t>
              </w:r>
            </w:hyperlink>
            <w:r>
              <w:rPr>
                <w:rFonts w:ascii="Calibri" w:cs="Calibri" w:eastAsia="Calibri" w:hAnsi="Calibri"/>
              </w:rPr>
              <w:t xml:space="preserve"> or email </w:t>
            </w:r>
            <w:hyperlink w:history="1" r:id="rIdug7fynopfejca7ps6qsrz">
              <w:r>
                <w:rPr>
                  <w:rFonts w:ascii="Calibri" w:cs="Calibri" w:eastAsia="Calibri" w:hAnsi="Calibri"/>
                  <w:color w:val="0563C1"/>
                  <w:u w:val="single"/>
                </w:rPr>
                <w:t xml:space="preserve">xsecurity@xloopdigital.com</w:t>
              </w:r>
            </w:hyperlink>
          </w:p>
        </w:tc>
      </w:tr>
    </w:tbl>
    <w:p>
      <w:pPr>
        <w:pStyle w:val="Heading1"/>
        <w:keepNext/>
        <w:spacing w:after="120" w:before="240"/>
      </w:pPr>
      <w:r>
        <w:rPr>
          <w:rFonts w:ascii="Calibri" w:cs="Calibri" w:eastAsia="Calibri" w:hAnsi="Calibri"/>
        </w:rPr>
        <w:t xml:space="preserve">Part 3: Schema (JSON-LD)</w:t>
      </w:r>
    </w:p>
    <w:p>
      <w:pPr>
        <w:spacing w:after="120"/>
      </w:pPr>
      <w:r>
        <w:rPr>
          <w:rFonts w:ascii="Calibri" w:cs="Calibri" w:eastAsia="Calibri" w:hAnsi="Calibri"/>
        </w:rPr>
        <w:t xml:space="preserve">Add to the page &lt;head&gt; as one &lt;script type="application/ld+json"&gt; block, replacing any existing Article/FAQ schema on this URL. Set dateModified to the date the update goes live (format YYYY-MM-DD). If the wind IPP sentence is left out, nothing in the schema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7" w:color="auto" w:val="clear"/>
            <w:tcMar>
              <w:top w:type="dxa" w:w="100"/>
              <w:left w:type="dxa" w:w="140"/>
              <w:bottom w:type="dxa" w:w="100"/>
              <w:right w:type="dxa" w:w="140"/>
            </w:tcMar>
          </w:tcPr>
          <w:p>
            <w:r>
              <w:rPr>
                <w:rFonts w:ascii="Consolas" w:cs="Consolas" w:eastAsia="Consolas" w:hAnsi="Consolas"/>
                <w:sz w:val="17"/>
                <w:szCs w:val="17"/>
              </w:rPr>
              <w:t xml:space="preserve">[</w:t>
            </w:r>
          </w:p>
          <w:p>
            <w:r>
              <w:rPr>
                <w:rFonts w:ascii="Consolas" w:cs="Consolas" w:eastAsia="Consolas" w:hAnsi="Consolas"/>
                <w:sz w:val="17"/>
                <w:szCs w:val="17"/>
              </w:rPr>
              <w:t xml:space="preserve">  {</w:t>
            </w:r>
          </w:p>
          <w:p>
            <w:r>
              <w:rPr>
                <w:rFonts w:ascii="Consolas" w:cs="Consolas" w:eastAsia="Consolas" w:hAnsi="Consolas"/>
                <w:sz w:val="17"/>
                <w:szCs w:val="17"/>
              </w:rPr>
              <w:t xml:space="preserve">    "@context": "https://schema.org",</w:t>
            </w:r>
          </w:p>
          <w:p>
            <w:r>
              <w:rPr>
                <w:rFonts w:ascii="Consolas" w:cs="Consolas" w:eastAsia="Consolas" w:hAnsi="Consolas"/>
                <w:sz w:val="17"/>
                <w:szCs w:val="17"/>
              </w:rPr>
              <w:t xml:space="preserve">    "@type": "BlogPosting",</w:t>
            </w:r>
          </w:p>
          <w:p>
            <w:r>
              <w:rPr>
                <w:rFonts w:ascii="Consolas" w:cs="Consolas" w:eastAsia="Consolas" w:hAnsi="Consolas"/>
                <w:sz w:val="17"/>
                <w:szCs w:val="17"/>
              </w:rPr>
              <w:t xml:space="preserve">    "headline": "NEPRA IT/OT Security Regulations: What Power Companies Must Do, and What an Audit Looks Like",</w:t>
            </w:r>
          </w:p>
          <w:p>
            <w:r>
              <w:rPr>
                <w:rFonts w:ascii="Consolas" w:cs="Consolas" w:eastAsia="Consolas" w:hAnsi="Consolas"/>
                <w:sz w:val="17"/>
                <w:szCs w:val="17"/>
              </w:rPr>
              <w:t xml:space="preserve">    "url": "https://www.xloopdigital.com/insights/blogs/why-ot-it-security-cant-be-an-afterthought-in-digital-transformation",</w:t>
            </w:r>
          </w:p>
          <w:p>
            <w:r>
              <w:rPr>
                <w:rFonts w:ascii="Consolas" w:cs="Consolas" w:eastAsia="Consolas" w:hAnsi="Consolas"/>
                <w:sz w:val="17"/>
                <w:szCs w:val="17"/>
              </w:rPr>
              <w:t xml:space="preserve">    "datePublished": "2026-05-07",</w:t>
            </w:r>
          </w:p>
          <w:p>
            <w:r>
              <w:rPr>
                <w:rFonts w:ascii="Consolas" w:cs="Consolas" w:eastAsia="Consolas" w:hAnsi="Consolas"/>
                <w:sz w:val="17"/>
                <w:szCs w:val="17"/>
              </w:rPr>
              <w:t xml:space="preserve">    "dateModified": "YYYY-MM-DD",</w:t>
            </w:r>
          </w:p>
          <w:p>
            <w:r>
              <w:rPr>
                <w:rFonts w:ascii="Consolas" w:cs="Consolas" w:eastAsia="Consolas" w:hAnsi="Consolas"/>
                <w:sz w:val="17"/>
                <w:szCs w:val="17"/>
              </w:rPr>
              <w:t xml:space="preserve">    "author": {</w:t>
            </w:r>
          </w:p>
          <w:p>
            <w:r>
              <w:rPr>
                <w:rFonts w:ascii="Consolas" w:cs="Consolas" w:eastAsia="Consolas" w:hAnsi="Consolas"/>
                <w:sz w:val="17"/>
                <w:szCs w:val="17"/>
              </w:rPr>
              <w:t xml:space="preserve">      "@type": "Person",</w:t>
            </w:r>
          </w:p>
          <w:p>
            <w:r>
              <w:rPr>
                <w:rFonts w:ascii="Consolas" w:cs="Consolas" w:eastAsia="Consolas" w:hAnsi="Consolas"/>
                <w:sz w:val="17"/>
                <w:szCs w:val="17"/>
              </w:rPr>
              <w:t xml:space="preserve">      "name": "Muhammad Humza"</w:t>
            </w:r>
          </w:p>
          <w:p>
            <w:r>
              <w:rPr>
                <w:rFonts w:ascii="Consolas" w:cs="Consolas" w:eastAsia="Consolas" w:hAnsi="Consolas"/>
                <w:sz w:val="17"/>
                <w:szCs w:val="17"/>
              </w:rPr>
              <w:t xml:space="preserve">    },</w:t>
            </w:r>
          </w:p>
          <w:p>
            <w:r>
              <w:rPr>
                <w:rFonts w:ascii="Consolas" w:cs="Consolas" w:eastAsia="Consolas" w:hAnsi="Consolas"/>
                <w:sz w:val="17"/>
                <w:szCs w:val="17"/>
              </w:rPr>
              <w:t xml:space="preserve">    "publisher": {</w:t>
            </w:r>
          </w:p>
          <w:p>
            <w:r>
              <w:rPr>
                <w:rFonts w:ascii="Consolas" w:cs="Consolas" w:eastAsia="Consolas" w:hAnsi="Consolas"/>
                <w:sz w:val="17"/>
                <w:szCs w:val="17"/>
              </w:rPr>
              <w:t xml:space="preserve">      "@type": "Organization",</w:t>
            </w:r>
          </w:p>
          <w:p>
            <w:r>
              <w:rPr>
                <w:rFonts w:ascii="Consolas" w:cs="Consolas" w:eastAsia="Consolas" w:hAnsi="Consolas"/>
                <w:sz w:val="17"/>
                <w:szCs w:val="17"/>
              </w:rPr>
              <w:t xml:space="preserve">      "name": "xLoop Digital",</w:t>
            </w:r>
          </w:p>
          <w:p>
            <w:r>
              <w:rPr>
                <w:rFonts w:ascii="Consolas" w:cs="Consolas" w:eastAsia="Consolas" w:hAnsi="Consolas"/>
                <w:sz w:val="17"/>
                <w:szCs w:val="17"/>
              </w:rPr>
              <w:t xml:space="preserve">      "url": "https://www.xloopdigital.com"</w:t>
            </w:r>
          </w:p>
          <w:p>
            <w:r>
              <w:rPr>
                <w:rFonts w:ascii="Consolas" w:cs="Consolas" w:eastAsia="Consolas" w:hAnsi="Consolas"/>
                <w:sz w:val="17"/>
                <w:szCs w:val="17"/>
              </w:rPr>
              <w:t xml:space="preserve">    },</w:t>
            </w:r>
          </w:p>
          <w:p>
            <w:r>
              <w:rPr>
                <w:rFonts w:ascii="Consolas" w:cs="Consolas" w:eastAsia="Consolas" w:hAnsi="Consolas"/>
                <w:sz w:val="17"/>
                <w:szCs w:val="17"/>
              </w:rPr>
              <w:t xml:space="preserve">    "about": "NEPRA (Security of Information Technology and Operational Technology) Regulations, 2022"</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"@context": "https://schema.org",</w:t>
            </w:r>
          </w:p>
          <w:p>
            <w:r>
              <w:rPr>
                <w:rFonts w:ascii="Consolas" w:cs="Consolas" w:eastAsia="Consolas" w:hAnsi="Consolas"/>
                <w:sz w:val="17"/>
                <w:szCs w:val="17"/>
              </w:rPr>
              <w:t xml:space="preserve">    "@type": "FAQPage",</w:t>
            </w:r>
          </w:p>
          <w:p>
            <w:r>
              <w:rPr>
                <w:rFonts w:ascii="Consolas" w:cs="Consolas" w:eastAsia="Consolas" w:hAnsi="Consolas"/>
                <w:sz w:val="17"/>
                <w:szCs w:val="17"/>
              </w:rPr>
              <w:t xml:space="preserve">    "mainEntity":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"What are the NEPRA Security of IT and OT Regulations 2022?",</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"They are NEPRA's mandatory cybersecurity framework for power-sector licensees, made under SRO 1708(I)/2022. They cover governance and policy, security controls, risk and vulnerability assessment, data integrity, audit support, monitoring and incident response, training, and regulatory reporting."</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"Who must comply with the NEPRA IT/OT regulations?",</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"Every NEPRA licensee in Pakistan's power sector: generation, transmission and distribution companies. The obligations cover both corporate IT and operational technology, including SCADA, DCS, PLCs and RTUs."</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"What does a NEPRA IT/OT audit involve?",</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"Scoping, a review of governance documents, interviews, an IT vulnerability assessment, a passive OT assessment, and a clause-by-clause gap analysis against Regulations 4 to 11. It ends with a scored compliance report, a VAPT report and a prioritized remediation roadmap."</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"Will an audit disrupt plant operations?",</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"It should not. A properly scoped NEPRA audit assesses OT passively, reviewing configurations, segmentation, access and logs rather than actively scanning live control systems. No plant downtime is required."</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"When must incidents be reported to NEPRA?",</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"Major incidents must be reported within 72 hours of discovery, in addition to quarterly breach reporting to the Authority. Incidents affecting OT are also reported to the National CERT and PowerCERT."</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"@type": "Question",</w:t>
            </w:r>
          </w:p>
          <w:p>
            <w:r>
              <w:rPr>
                <w:rFonts w:ascii="Consolas" w:cs="Consolas" w:eastAsia="Consolas" w:hAnsi="Consolas"/>
                <w:sz w:val="17"/>
                <w:szCs w:val="17"/>
              </w:rPr>
              <w:t xml:space="preserve">        "name": "How is IT security different from OT security?",</w:t>
            </w:r>
          </w:p>
          <w:p>
            <w:r>
              <w:rPr>
                <w:rFonts w:ascii="Consolas" w:cs="Consolas" w:eastAsia="Consolas" w:hAnsi="Consolas"/>
                <w:sz w:val="17"/>
                <w:szCs w:val="17"/>
              </w:rPr>
              <w:t xml:space="preserve">        "acceptedAnswer": {</w:t>
            </w:r>
          </w:p>
          <w:p>
            <w:r>
              <w:rPr>
                <w:rFonts w:ascii="Consolas" w:cs="Consolas" w:eastAsia="Consolas" w:hAnsi="Consolas"/>
                <w:sz w:val="17"/>
                <w:szCs w:val="17"/>
              </w:rPr>
              <w:t xml:space="preserve">          "@type": "Answer",</w:t>
            </w:r>
          </w:p>
          <w:p>
            <w:r>
              <w:rPr>
                <w:rFonts w:ascii="Consolas" w:cs="Consolas" w:eastAsia="Consolas" w:hAnsi="Consolas"/>
                <w:sz w:val="17"/>
                <w:szCs w:val="17"/>
              </w:rPr>
              <w:t xml:space="preserve">          "text": "IT security protects data and its confidentiality. OT security protects a physical process and the people around it. An IT failure loses files; an OT failure can trip a unit or stop generation."</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  }</w:t>
            </w:r>
          </w:p>
          <w:p>
            <w:r>
              <w:rPr>
                <w:rFonts w:ascii="Consolas" w:cs="Consolas" w:eastAsia="Consolas" w:hAnsi="Consolas"/>
                <w:sz w:val="17"/>
                <w:szCs w:val="17"/>
              </w:rPr>
              <w:t xml:space="preserve">]</w:t>
            </w:r>
          </w:p>
        </w:tc>
      </w:tr>
    </w:tbl>
    <w:p>
      <w:pPr>
        <w:pStyle w:val="Heading1"/>
        <w:keepNext/>
        <w:spacing w:after="120" w:before="240"/>
      </w:pPr>
      <w:r>
        <w:rPr>
          <w:rFonts w:ascii="Calibri" w:cs="Calibri" w:eastAsia="Calibri" w:hAnsi="Calibri"/>
        </w:rPr>
        <w:t xml:space="preserve">Part 4: Links to add on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Page</w:t>
            </w:r>
          </w:p>
        </w:tc>
        <w:tc>
          <w:tcPr>
            <w:tcW w:type="dxa" w:w="556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rPr>
              <w:t xml:space="preserve">Add</w:t>
            </w:r>
          </w:p>
        </w:tc>
      </w:tr>
      <w:tr>
        <w:trPr>
          <w:cantSplit/>
          <w:tblHeader w:val="off"/>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zrlqs9c7885cwrxzjdqja">
              <w:r>
                <w:rPr>
                  <w:rFonts w:ascii="Calibri" w:cs="Calibri" w:eastAsia="Calibri" w:hAnsi="Calibri"/>
                  <w:color w:val="0563C1"/>
                  <w:u w:val="single"/>
                </w:rPr>
                <w:t xml:space="preserve">/services/nepra</w:t>
              </w:r>
            </w:hyperlink>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Under the FAQ: "Read: what the regulations require and how an audit runs", linking to this blog</w:t>
            </w:r>
          </w:p>
        </w:tc>
      </w:tr>
      <w:tr>
        <w:trPr>
          <w:cantSplit/>
          <w:tblHeader w:val="off"/>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g3wbodjfy6k7gwkgwrpal">
              <w:r>
                <w:rPr>
                  <w:rFonts w:ascii="Calibri" w:cs="Calibri" w:eastAsia="Calibri" w:hAnsi="Calibri"/>
                  <w:color w:val="0563C1"/>
                  <w:u w:val="single"/>
                </w:rPr>
                <w:t xml:space="preserve">/services/cyber-security-service</w:t>
              </w:r>
            </w:hyperlink>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Energy &amp; Utilities card: link to this blog</w:t>
            </w:r>
          </w:p>
        </w:tc>
      </w:tr>
      <w:tr>
        <w:trPr>
          <w:cantSplit/>
          <w:tblHeader w:val="off"/>
        </w:trP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gov9qvgvekwofknb81o22">
              <w:r>
                <w:rPr>
                  <w:rFonts w:ascii="Calibri" w:cs="Calibri" w:eastAsia="Calibri" w:hAnsi="Calibri"/>
                  <w:color w:val="0563C1"/>
                  <w:u w:val="single"/>
                </w:rPr>
                <w:t xml:space="preserve">AI governance and cybersecurity blog</w:t>
              </w:r>
            </w:hyperlink>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One in-text link with the anchor "NEPRA IT/OT security regulations", pointing to this blog</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4E79"/>
      <w:sz w:val="40"/>
      <w:szCs w:val="4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outlineLvl w:val="1"/>
    </w:pPr>
    <w:rPr>
      <w:rFonts w:ascii="Calibri" w:cs="Calibri" w:eastAsia="Calibri" w:hAnsi="Calibri"/>
      <w:b/>
      <w:bCs/>
      <w:color w:val="2E75B6"/>
      <w:sz w:val="26"/>
      <w:szCs w:val="26"/>
    </w:rPr>
  </w:style>
  <w:style w:type="paragraph" w:styleId="Heading3">
    <w:name w:val="Heading 3"/>
    <w:basedOn w:val="Normal"/>
    <w:next w:val="Normal"/>
    <w:qFormat/>
    <w:pPr>
      <w:keepNext/>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fpbun-fjczi4ft7n0bzw" Type="http://schemas.openxmlformats.org/officeDocument/2006/relationships/hyperlink" Target="https://www.xloopdigital.com/insights/blogs/why-ot-it-security-cant-be-an-afterthought-in-digital-transformation" TargetMode="External"/><Relationship Id="rIdg2icydwdrylyuirtk4p_n" Type="http://schemas.openxmlformats.org/officeDocument/2006/relationships/hyperlink" Target="https://www.xloopdigital.com/services/nepra" TargetMode="External"/><Relationship Id="rIdgfnel-oge_saohnawwlte" Type="http://schemas.openxmlformats.org/officeDocument/2006/relationships/hyperlink" Target="tel:+922135869200" TargetMode="External"/><Relationship Id="rId8lmmxi5gjgcyy_mteeeec" Type="http://schemas.openxmlformats.org/officeDocument/2006/relationships/hyperlink" Target="https://www.xloopdigital.com/services/nepra" TargetMode="External"/><Relationship Id="rIdlpvtzmrnhn6dbpjmpixl0" Type="http://schemas.openxmlformats.org/officeDocument/2006/relationships/hyperlink" Target="https://www.xloopdigital.com/services/cyber-security-service" TargetMode="External"/><Relationship Id="rId5tfsdr0r63qce8eggke8h" Type="http://schemas.openxmlformats.org/officeDocument/2006/relationships/hyperlink" Target="https://www.xloopdigital.com/services/ai-security-service" TargetMode="External"/><Relationship Id="rIdpqc7rvdkq1b27qp_ulnzu" Type="http://schemas.openxmlformats.org/officeDocument/2006/relationships/hyperlink" Target="https://www.xloopdigital.com/insights/blogs/ai-governance-and-cybersecurity-strategies-for-modern-enterprises" TargetMode="External"/><Relationship Id="rId7cjazwein4qs4wr5bmgla" Type="http://schemas.openxmlformats.org/officeDocument/2006/relationships/hyperlink" Target="tel:+922135869200" TargetMode="External"/><Relationship Id="rIdug7fynopfejca7ps6qsrz" Type="http://schemas.openxmlformats.org/officeDocument/2006/relationships/hyperlink" Target="mailto:xsecurity@xloopdigital.com?subject=NEPRA%20IT%2FOT%20Compliance%20Inquiry" TargetMode="External"/><Relationship Id="rIdzrlqs9c7885cwrxzjdqja" Type="http://schemas.openxmlformats.org/officeDocument/2006/relationships/hyperlink" Target="https://www.xloopdigital.com/services/nepra" TargetMode="External"/><Relationship Id="rIdg3wbodjfy6k7gwkgwrpal" Type="http://schemas.openxmlformats.org/officeDocument/2006/relationships/hyperlink" Target="https://www.xloopdigital.com/services/cyber-security-service" TargetMode="External"/><Relationship Id="rIdgov9qvgvekwofknb81o22" Type="http://schemas.openxmlformats.org/officeDocument/2006/relationships/hyperlink" Target="https://www.xloopdigital.com/insights/blogs/ai-governance-and-cybersecurity-strategies-for-modern-enterprise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NEPRA IT/OT Security Regulations — blog update for dev</dc:title>
  <dc:creator>xLoop Digital Marketing</dc:creator>
  <cp:lastModifiedBy>Un-named</cp:lastModifiedBy>
  <cp:revision>1</cp:revision>
  <dcterms:created xsi:type="dcterms:W3CDTF">2026-10-19T06:38:10.890Z</dcterms:created>
  <dcterms:modified xsi:type="dcterms:W3CDTF">2026-10-19T06:38:10.891Z</dcterms:modified>
</cp:coreProperties>
</file>

<file path=docProps/custom.xml><?xml version="1.0" encoding="utf-8"?>
<Properties xmlns="http://schemas.openxmlformats.org/officeDocument/2006/custom-properties" xmlns:vt="http://schemas.openxmlformats.org/officeDocument/2006/docPropsVTypes"/>
</file>